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8" w:type="dxa"/>
        <w:jc w:val="center"/>
        <w:tblInd w:w="524" w:type="dxa"/>
        <w:tblLook w:val="01E0"/>
      </w:tblPr>
      <w:tblGrid>
        <w:gridCol w:w="4254"/>
        <w:gridCol w:w="5604"/>
      </w:tblGrid>
      <w:tr w:rsidR="003945CD" w:rsidRPr="004B7EEF" w:rsidTr="00250B01">
        <w:trPr>
          <w:jc w:val="center"/>
        </w:trPr>
        <w:tc>
          <w:tcPr>
            <w:tcW w:w="4254" w:type="dxa"/>
            <w:shd w:val="clear" w:color="auto" w:fill="auto"/>
          </w:tcPr>
          <w:p w:rsidR="003945CD" w:rsidRPr="00080FBC" w:rsidRDefault="003945CD" w:rsidP="00250B01">
            <w:pPr>
              <w:spacing w:after="0" w:line="240" w:lineRule="auto"/>
              <w:jc w:val="center"/>
              <w:rPr>
                <w:sz w:val="26"/>
                <w:szCs w:val="26"/>
              </w:rPr>
            </w:pPr>
            <w:r w:rsidRPr="00080FBC">
              <w:rPr>
                <w:sz w:val="26"/>
                <w:szCs w:val="26"/>
              </w:rPr>
              <w:t>UBND TỈNH ĐẮK NÔNG</w:t>
            </w:r>
          </w:p>
          <w:p w:rsidR="003945CD" w:rsidRPr="00145583" w:rsidRDefault="003945CD" w:rsidP="00250B01">
            <w:pPr>
              <w:spacing w:after="0" w:line="240" w:lineRule="auto"/>
              <w:jc w:val="center"/>
              <w:rPr>
                <w:b/>
                <w:sz w:val="26"/>
                <w:szCs w:val="26"/>
              </w:rPr>
            </w:pPr>
            <w:r>
              <w:rPr>
                <w:b/>
                <w:sz w:val="26"/>
                <w:szCs w:val="26"/>
              </w:rPr>
              <w:t>SỞ KHOA HỌC VÀ CÔNG NGHỆ</w:t>
            </w:r>
          </w:p>
          <w:p w:rsidR="003945CD" w:rsidRPr="004B7EEF" w:rsidRDefault="009F445A" w:rsidP="00250B01">
            <w:pPr>
              <w:spacing w:before="120" w:after="0" w:line="240" w:lineRule="auto"/>
              <w:ind w:left="-85" w:right="40"/>
              <w:jc w:val="center"/>
              <w:rPr>
                <w:bCs/>
                <w:sz w:val="24"/>
              </w:rPr>
            </w:pPr>
            <w:r>
              <w:rPr>
                <w:noProof/>
              </w:rPr>
              <w:pict>
                <v:rect id="_x0000_s1030" style="position:absolute;left:0;text-align:left;margin-left:50.75pt;margin-top:33.4pt;width:74.95pt;height:19.5pt;z-index:251662336">
                  <v:textbox>
                    <w:txbxContent>
                      <w:p w:rsidR="009F445A" w:rsidRPr="009F445A" w:rsidRDefault="009F445A" w:rsidP="009F445A">
                        <w:pPr>
                          <w:jc w:val="center"/>
                          <w:rPr>
                            <w:sz w:val="24"/>
                            <w:szCs w:val="24"/>
                          </w:rPr>
                        </w:pPr>
                        <w:r w:rsidRPr="009F445A">
                          <w:rPr>
                            <w:sz w:val="24"/>
                            <w:szCs w:val="24"/>
                          </w:rPr>
                          <w:t>DỰ THẢO</w:t>
                        </w:r>
                      </w:p>
                    </w:txbxContent>
                  </v:textbox>
                </v:rect>
              </w:pict>
            </w:r>
            <w:r w:rsidR="003945CD" w:rsidRPr="00F45D82">
              <w:rPr>
                <w:noProof/>
              </w:rPr>
              <w:pict>
                <v:line id="Straight Connector 3" o:spid="_x0000_s1028" style="position:absolute;left:0;text-align:left;z-index:251660288;visibility:visible;mso-wrap-distance-top:-3e-5mm;mso-wrap-distance-bottom:-3e-5mm" from="49.25pt,1pt" to="13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Mm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ua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"/>
              </w:pict>
            </w:r>
            <w:r w:rsidR="003945CD" w:rsidRPr="00080FBC">
              <w:rPr>
                <w:sz w:val="26"/>
              </w:rPr>
              <w:t>Số:       /BC-SKHCN</w:t>
            </w:r>
          </w:p>
        </w:tc>
        <w:tc>
          <w:tcPr>
            <w:tcW w:w="5604" w:type="dxa"/>
            <w:shd w:val="clear" w:color="auto" w:fill="auto"/>
          </w:tcPr>
          <w:p w:rsidR="003945CD" w:rsidRPr="004B7EEF" w:rsidRDefault="003945CD" w:rsidP="00250B01">
            <w:pPr>
              <w:spacing w:after="0" w:line="240" w:lineRule="auto"/>
              <w:ind w:left="2" w:right="-70" w:hanging="2"/>
              <w:jc w:val="center"/>
              <w:rPr>
                <w:b/>
                <w:sz w:val="26"/>
                <w:szCs w:val="26"/>
              </w:rPr>
            </w:pPr>
            <w:r w:rsidRPr="004B7EEF">
              <w:rPr>
                <w:b/>
                <w:sz w:val="26"/>
                <w:szCs w:val="26"/>
              </w:rPr>
              <w:t xml:space="preserve">CỘNG HÒA XÃ HỘI CHỦ NGHĨA VIỆT </w:t>
            </w:r>
            <w:smartTag w:uri="urn:schemas-microsoft-com:office:smarttags" w:element="place">
              <w:smartTag w:uri="urn:schemas-microsoft-com:office:smarttags" w:element="country-region">
                <w:r w:rsidRPr="004B7EEF">
                  <w:rPr>
                    <w:b/>
                    <w:sz w:val="26"/>
                    <w:szCs w:val="26"/>
                  </w:rPr>
                  <w:t>NAM</w:t>
                </w:r>
              </w:smartTag>
            </w:smartTag>
          </w:p>
          <w:p w:rsidR="003945CD" w:rsidRPr="004B7EEF" w:rsidRDefault="003945CD" w:rsidP="00250B01">
            <w:pPr>
              <w:spacing w:after="0" w:line="240" w:lineRule="auto"/>
              <w:ind w:right="-275" w:firstLine="34"/>
              <w:jc w:val="center"/>
              <w:rPr>
                <w:b/>
                <w:sz w:val="30"/>
              </w:rPr>
            </w:pPr>
            <w:r w:rsidRPr="004B7EEF">
              <w:rPr>
                <w:b/>
                <w:szCs w:val="26"/>
              </w:rPr>
              <w:t>Độc lập - Tự do - Hạnh phúc</w:t>
            </w:r>
          </w:p>
          <w:p w:rsidR="003945CD" w:rsidRPr="004B7EEF" w:rsidRDefault="003945CD" w:rsidP="00250B01">
            <w:pPr>
              <w:spacing w:before="120" w:after="0" w:line="240" w:lineRule="auto"/>
              <w:ind w:right="-272"/>
              <w:jc w:val="center"/>
              <w:rPr>
                <w:b/>
              </w:rPr>
            </w:pPr>
            <w:r w:rsidRPr="00F45D82">
              <w:rPr>
                <w:i/>
                <w:noProof/>
              </w:rPr>
              <w:pict>
                <v:line id="Straight Connector 1" o:spid="_x0000_s1029" style="position:absolute;left:0;text-align:left;z-index:251661312;visibility:visible" from="53.2pt,0" to="2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hQtQEAALcDAAAOAAAAZHJzL2Uyb0RvYy54bWysU8GO0zAQvSPxD5bvNGlXwC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" strokecolor="black [3040]"/>
              </w:pict>
            </w:r>
            <w:r w:rsidRPr="004B7EEF">
              <w:rPr>
                <w:i/>
              </w:rPr>
              <w:t>Đắk Nông, ngày       tháng   năm 201</w:t>
            </w:r>
            <w:r>
              <w:rPr>
                <w:i/>
              </w:rPr>
              <w:t>9</w:t>
            </w:r>
          </w:p>
          <w:p w:rsidR="003945CD" w:rsidRPr="004B7EEF" w:rsidRDefault="003945CD" w:rsidP="00250B01">
            <w:pPr>
              <w:spacing w:after="0" w:line="240" w:lineRule="auto"/>
              <w:ind w:right="417"/>
              <w:jc w:val="center"/>
            </w:pPr>
          </w:p>
        </w:tc>
      </w:tr>
    </w:tbl>
    <w:p w:rsidR="003945CD" w:rsidRPr="00E53DD2" w:rsidRDefault="003945CD" w:rsidP="003945CD">
      <w:pPr>
        <w:spacing w:before="120" w:after="0" w:line="240" w:lineRule="auto"/>
        <w:jc w:val="center"/>
        <w:rPr>
          <w:rFonts w:eastAsia="Malgun Gothic"/>
          <w:b/>
          <w:sz w:val="36"/>
          <w:szCs w:val="36"/>
          <w:lang w:val="vi-VN" w:eastAsia="vi-VN"/>
        </w:rPr>
      </w:pPr>
      <w:r w:rsidRPr="00E53DD2">
        <w:rPr>
          <w:rFonts w:eastAsia="Malgun Gothic"/>
          <w:b/>
          <w:sz w:val="36"/>
          <w:szCs w:val="36"/>
          <w:lang w:val="vi-VN" w:eastAsia="vi-VN"/>
        </w:rPr>
        <w:t>BÁO CÁO</w:t>
      </w:r>
    </w:p>
    <w:p w:rsidR="003945CD" w:rsidRPr="00145583" w:rsidRDefault="003945CD" w:rsidP="003945CD">
      <w:pPr>
        <w:spacing w:after="0" w:line="240" w:lineRule="auto"/>
        <w:jc w:val="center"/>
        <w:rPr>
          <w:rFonts w:eastAsia="Malgun Gothic"/>
          <w:b/>
          <w:szCs w:val="28"/>
          <w:lang w:eastAsia="vi-VN"/>
        </w:rPr>
      </w:pPr>
      <w:r w:rsidRPr="00145583">
        <w:rPr>
          <w:rFonts w:eastAsia="Malgun Gothic"/>
          <w:b/>
          <w:szCs w:val="28"/>
          <w:lang w:eastAsia="vi-VN"/>
        </w:rPr>
        <w:t>Đánh giá tác động của Nghị quyết ban hành chính sách</w:t>
      </w:r>
    </w:p>
    <w:p w:rsidR="003945CD" w:rsidRPr="00145583" w:rsidRDefault="003945CD" w:rsidP="003945CD">
      <w:pPr>
        <w:spacing w:after="0" w:line="240" w:lineRule="auto"/>
        <w:jc w:val="center"/>
        <w:rPr>
          <w:rFonts w:eastAsia="Malgun Gothic"/>
          <w:b/>
          <w:szCs w:val="28"/>
          <w:lang w:eastAsia="vi-VN"/>
        </w:rPr>
      </w:pPr>
      <w:r w:rsidRPr="00145583">
        <w:rPr>
          <w:rFonts w:eastAsia="Malgun Gothic"/>
          <w:b/>
          <w:szCs w:val="28"/>
          <w:lang w:eastAsia="vi-VN"/>
        </w:rPr>
        <w:t>hỗ trợ hệ sinh thái khởi nghiệp đổi mới sáng tạo</w:t>
      </w:r>
    </w:p>
    <w:p w:rsidR="003945CD" w:rsidRPr="00145583" w:rsidRDefault="003945CD" w:rsidP="003945CD">
      <w:pPr>
        <w:spacing w:after="0" w:line="240" w:lineRule="auto"/>
        <w:jc w:val="center"/>
        <w:rPr>
          <w:rFonts w:eastAsia="Malgun Gothic"/>
          <w:b/>
          <w:szCs w:val="28"/>
          <w:lang w:eastAsia="vi-VN"/>
        </w:rPr>
      </w:pPr>
      <w:r w:rsidRPr="00145583">
        <w:rPr>
          <w:rFonts w:eastAsia="Malgun Gothic"/>
          <w:b/>
          <w:szCs w:val="28"/>
          <w:lang w:eastAsia="vi-VN"/>
        </w:rPr>
        <w:t>trên địa bàn tỉnh Đắk Nông đến năm 2025</w:t>
      </w:r>
    </w:p>
    <w:p w:rsidR="003945CD" w:rsidRPr="00145583" w:rsidRDefault="003945CD" w:rsidP="003945CD">
      <w:pPr>
        <w:spacing w:after="0" w:line="360" w:lineRule="auto"/>
        <w:ind w:firstLine="567"/>
        <w:jc w:val="center"/>
        <w:rPr>
          <w:rFonts w:eastAsia="Malgun Gothic"/>
          <w:b/>
          <w:szCs w:val="28"/>
          <w:lang w:eastAsia="vi-VN"/>
        </w:rPr>
      </w:pPr>
    </w:p>
    <w:p w:rsidR="003945CD" w:rsidRPr="00E8629B" w:rsidRDefault="003945CD" w:rsidP="003945CD">
      <w:pPr>
        <w:pStyle w:val="Heading1"/>
        <w:spacing w:before="120" w:after="120" w:line="240" w:lineRule="auto"/>
        <w:jc w:val="both"/>
        <w:rPr>
          <w:rFonts w:ascii="Times New Roman" w:hAnsi="Times New Roman" w:cs="Times New Roman"/>
          <w:color w:val="auto"/>
        </w:rPr>
      </w:pPr>
      <w:r>
        <w:rPr>
          <w:rFonts w:ascii="Times New Roman" w:hAnsi="Times New Roman" w:cs="Times New Roman"/>
          <w:color w:val="auto"/>
        </w:rPr>
        <w:tab/>
      </w:r>
      <w:r w:rsidRPr="00E8629B">
        <w:rPr>
          <w:rFonts w:ascii="Times New Roman" w:hAnsi="Times New Roman" w:cs="Times New Roman"/>
          <w:color w:val="auto"/>
        </w:rPr>
        <w:t>I. Xác định vấn đề bất cập tổng quan</w:t>
      </w:r>
    </w:p>
    <w:p w:rsidR="003945CD" w:rsidRPr="00E8629B" w:rsidRDefault="003945CD" w:rsidP="003945CD">
      <w:pPr>
        <w:pStyle w:val="Heading2"/>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E8629B">
        <w:rPr>
          <w:rFonts w:ascii="Times New Roman" w:hAnsi="Times New Roman" w:cs="Times New Roman"/>
          <w:color w:val="auto"/>
          <w:sz w:val="28"/>
          <w:szCs w:val="28"/>
        </w:rPr>
        <w:t>1.Bối cảnh xây dựng Nghị quyết</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a. Trung ương</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 xml:space="preserve">Trong bối cảnh hội nhập quốc tế, Đảng và Nhà nước đã thống nhất phát triển doanh nghiệp nói chung và doanh nghiệp khởi nghiệp đổi mới sáng tạo nói riêng thông qua một số văn bản định hướng và chương trình hành động cụ thể, như: </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 Nghị quyết số 05-NQ/TW ngày 01/11/2016 của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 Nghị quyết 27/NQ-CP ngày 21/02/2017 ban hành Chương trình hành động của Chính phủ thực hiện Nghị quyết 05-NQ/TW ngày 01/11/2016 của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 Nghị quyết số 24/2016/QH14 ngày 08/11/2016 của Quốc Hội về Kế hoạch cơ cấu lại nền kinh tế giai đoạn 2016 - 2020. Trong đó nêu rõ đến năm 2020 xây dựng doanh nghiệp Việt Nam có năng lực cạnh tranh, phát triển bền vững, cả nước có ít nhất 1 triệu doanh nghiệp hoạt động có các doanh nghiệp có quy mô lớn, nguồn lực mạnh; hàng năm, có khoảng 30 - 35% doanh nghiệp Việt Nam có hoạt động đổi mới sáng tạo.</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 Nghị quyết 35/NQ-CP ngày 16/5/2016 của Chính phủ về hỗ trợ và phát triển doanh nghiệp đến năm 2020. Tại Nghị quyết, Thủ tướng Chính phủ yêu cầu các bộ, ngành, địa phương tập trung  thực hiện 04 nhiệm vụ và giải pháp, trong đó có nhiệm vụ tạo dựng môi trường thuận lợi hỗ trợ doanh nghiệp khởi nghiệp, doanh nghiệp đổi mới sáng tạo.</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 Nghị quyết 19-2017/NQ-CP ngày 06/02/2017 của Chính Phủ về tiếp tục thực hiện nhiệm vụ, giải pháp chủ yếu cải thiện môi trường kinh doanh, nâng cao năng lực cạnh tranh quốc gia năm 2017, định hướng đến năm 2020.</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lastRenderedPageBreak/>
        <w:t xml:space="preserve">- Nghị định 39/2018/NĐ-CP ngày 11/3/2018 của Chính phủ quy định chi tiết một số điều của Luật hỗ trợ doanh nghiệp nhỏ và vừa. Tại điều 21 qui định nội dung hỗ trợ doanh nghiệp nhỏ và vừa khởi nghiệp sáng tạo. </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 Bên cạnh đó, Thủ tướng Chính phủ đã phê duyệt các Đề án như: "Hỗ trợ hệ sinh thái khởi nghiệp đổi mới sáng tạo quốc gia đến năm 2025" tại Quyết định số 844/QĐ-TTg ngày 18/5/2016; "Hỗ trợ phụ nữ khởi nghiệp giai đoạn 2017 - 2025" tại Quyết định 939/QĐ-TTg ngày 30/6/2017; "Hỗ trợ học sinh, sinh viên khởi nghiệp" tại Quyết định số 1665/QĐ-TTg ngày 30/10/2017. Đây là những chương trình lớn của quốc gia, bao gồm các giải pháp, hoạt động nhằm phát triển nền tảng cho hệ sinh thái khởi nghiệp đổi mới sáng tạo quốc gia.</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b. Tỉnh Đắk Nông</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Thực hiện chủ trương, chính sách của Đảng và Nhà nước về khuyến khích phát triển doanh nghiệp phát huy vai trò doanh nghiệp trong sự nghiệp xây dựng và bảo vệ đất nước. Thời gian qua, Đảng bộ và chính quyền tỉnh Đắk Nông đã có nhiều nỗ lực trong việc đề ra và thực hiện các chính sách, chương trình, hoạt động cụ thể nhằm tạo lập môi trường thuận lợi để hỗ trợ doanh nghiệp nói chung và doanh nghiệp khởi nghiệp đổi mới sáng tạo nói riêng, góp phần tạo việc làm, tăng năng suất, thu nhập cho người lao động, đóng góp vào quá trình phát triển kinh tế xã hội của địa phương.</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Tuy nhiên hoạt động củadoanh nghiệp vẫn còn nhiều hạn chế như: Doanh nghiệp có tăng về số lượng nhưng chưa mạnh, hầu hết có quy mô nhỏ và siêu nhỏ, công nghệ lạc hậu; chưa có chiến lược kinh doanh, chủ yếu kinh doanh nhỏ (buôn bán lẻ), bắt chước, làm theo, thiếu sáng tạo; trình độ kỹ năng quản trị doanh nghiệp yếu;  Hoạt động đổi mới sáng tạo của doanh nghiệp cũng như các doanh nghiệp có sản phẩm, dự án khởi nghiệp đổi mới sáng tạo dựa trên khai thác tài sản trí tuệ, công nghệ hoặc mô hình kinh doanh mới trên địa bàn tỉnh Đắk Nông chưa có chuyển biến rõ nét để bắt kịp với xu hướng chung của cả nước. Hơn nữa khởi nghiệp nói chung và khởi nghiệp đổi mới sáng tạo nói riêng là một quá trình thực sự khó khăn và đầy rủi ro. Vì vậy, việc ban hành chính sách hỗ trợ khởi nghiệp đổi mới sáng tạo trên địa bàn tỉnh có ý nghĩa là một động thái chứng minh cho cộng đồng doanh nghiệp thấy Đảng bộ và Chính quyền tỉnh Đắk Nông đã vào cuộc thật sự, đồng hành cùng với doanh nghiệp.</w:t>
      </w:r>
    </w:p>
    <w:p w:rsidR="003945CD" w:rsidRPr="00E8629B" w:rsidRDefault="003945CD" w:rsidP="003945CD">
      <w:pPr>
        <w:pStyle w:val="Heading2"/>
        <w:spacing w:before="120" w:after="120" w:line="240" w:lineRule="auto"/>
        <w:jc w:val="both"/>
        <w:rPr>
          <w:rFonts w:ascii="Times New Roman" w:hAnsi="Times New Roman" w:cs="Times New Roman"/>
          <w:color w:val="auto"/>
          <w:sz w:val="28"/>
          <w:szCs w:val="28"/>
          <w:shd w:val="clear" w:color="auto" w:fill="FFFFFF"/>
        </w:rPr>
      </w:pPr>
      <w:r>
        <w:rPr>
          <w:rStyle w:val="Strong"/>
          <w:rFonts w:ascii="Times New Roman" w:hAnsi="Times New Roman" w:cs="Times New Roman"/>
          <w:color w:val="auto"/>
          <w:sz w:val="28"/>
          <w:szCs w:val="28"/>
          <w:shd w:val="clear" w:color="auto" w:fill="FFFFFF"/>
        </w:rPr>
        <w:tab/>
      </w:r>
      <w:r w:rsidRPr="00E8629B">
        <w:rPr>
          <w:rStyle w:val="Strong"/>
          <w:rFonts w:ascii="Times New Roman" w:hAnsi="Times New Roman" w:cs="Times New Roman"/>
          <w:b/>
          <w:color w:val="auto"/>
          <w:sz w:val="28"/>
          <w:szCs w:val="28"/>
          <w:shd w:val="clear" w:color="auto" w:fill="FFFFFF"/>
        </w:rPr>
        <w:t>2.</w:t>
      </w:r>
      <w:r w:rsidRPr="00E8629B">
        <w:rPr>
          <w:rFonts w:ascii="Times New Roman" w:hAnsi="Times New Roman" w:cs="Times New Roman"/>
          <w:color w:val="auto"/>
          <w:sz w:val="28"/>
          <w:szCs w:val="28"/>
        </w:rPr>
        <w:t>Mục tiêu xây dựng chính sách</w:t>
      </w:r>
    </w:p>
    <w:p w:rsidR="003945CD" w:rsidRDefault="003945CD" w:rsidP="003945CD">
      <w:pPr>
        <w:spacing w:before="120" w:after="120" w:line="240" w:lineRule="auto"/>
        <w:ind w:firstLine="709"/>
        <w:jc w:val="both"/>
        <w:rPr>
          <w:szCs w:val="28"/>
        </w:rPr>
      </w:pPr>
      <w:r>
        <w:rPr>
          <w:szCs w:val="28"/>
        </w:rPr>
        <w:t>Tạo lập môi trường thuận lợi để hình thành và phát triển hệ sinh thái khởi nghiệp đổi mới sáng tạo; thúc đẩy hoạt động khởi nghiệp đổi mới sáng tạo trên địa bàn tỉnh Đắk Nông.</w:t>
      </w:r>
    </w:p>
    <w:p w:rsidR="003945CD" w:rsidRDefault="003945CD" w:rsidP="003945CD">
      <w:pPr>
        <w:spacing w:before="120" w:after="120" w:line="240" w:lineRule="auto"/>
        <w:ind w:firstLine="709"/>
        <w:jc w:val="both"/>
        <w:rPr>
          <w:szCs w:val="28"/>
        </w:rPr>
      </w:pPr>
      <w:r>
        <w:rPr>
          <w:szCs w:val="28"/>
        </w:rPr>
        <w:t>Hỗ trợ hoạt động khởi nghiệp đổi mới sáng tạo trong cộng đồng, doanh nghiệp.</w:t>
      </w:r>
    </w:p>
    <w:p w:rsidR="003945CD" w:rsidRDefault="003945CD" w:rsidP="003945CD">
      <w:pPr>
        <w:spacing w:before="120" w:after="120" w:line="240" w:lineRule="auto"/>
        <w:ind w:firstLine="709"/>
        <w:jc w:val="both"/>
        <w:rPr>
          <w:szCs w:val="28"/>
        </w:rPr>
      </w:pPr>
      <w:r>
        <w:rPr>
          <w:szCs w:val="28"/>
        </w:rPr>
        <w:t xml:space="preserve">Thông qua chính sách khuyến khích các doanh nghiệp nhỏ và vừa khởi nghiệp sáng tạo trên địa bàn tỉnh nghiên cứu, tiếp nhận chuyển giao, ứng </w:t>
      </w:r>
      <w:r>
        <w:rPr>
          <w:szCs w:val="28"/>
        </w:rPr>
        <w:lastRenderedPageBreak/>
        <w:t>dụngnhững tiến bộ kỹ thuật, những công nghệ - thiết bị mới vào sản xuất, kinh doanh phù hợp với định hướng phát triển kinh tế - xã hội của tỉnh.</w:t>
      </w:r>
    </w:p>
    <w:p w:rsidR="003945CD" w:rsidRPr="00E8629B" w:rsidRDefault="003945CD" w:rsidP="003945CD">
      <w:pPr>
        <w:pStyle w:val="Heading1"/>
        <w:spacing w:before="120" w:after="120" w:line="240" w:lineRule="auto"/>
        <w:jc w:val="both"/>
        <w:rPr>
          <w:rFonts w:ascii="Times New Roman" w:hAnsi="Times New Roman" w:cs="Times New Roman"/>
          <w:color w:val="auto"/>
        </w:rPr>
      </w:pPr>
      <w:r>
        <w:rPr>
          <w:rFonts w:ascii="Times New Roman" w:hAnsi="Times New Roman" w:cs="Times New Roman"/>
          <w:color w:val="auto"/>
        </w:rPr>
        <w:tab/>
      </w:r>
      <w:r w:rsidRPr="00E8629B">
        <w:rPr>
          <w:rFonts w:ascii="Times New Roman" w:hAnsi="Times New Roman" w:cs="Times New Roman"/>
          <w:color w:val="auto"/>
        </w:rPr>
        <w:t>II.Đánh giá tác động của chính sách</w:t>
      </w:r>
    </w:p>
    <w:p w:rsidR="003945CD" w:rsidRPr="00E8629B" w:rsidRDefault="003945CD" w:rsidP="003945CD">
      <w:pPr>
        <w:pStyle w:val="Heading2"/>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E8629B">
        <w:rPr>
          <w:rFonts w:ascii="Times New Roman" w:hAnsi="Times New Roman" w:cs="Times New Roman"/>
          <w:color w:val="auto"/>
          <w:sz w:val="28"/>
          <w:szCs w:val="28"/>
        </w:rPr>
        <w:t>1. Chính sách 1: Hỗ trợ kinh phí đểphát triển hệ sinh thái khởi nghiệp đổi mới sáng tạo</w:t>
      </w:r>
    </w:p>
    <w:p w:rsidR="003945CD" w:rsidRDefault="003945CD" w:rsidP="003945CD">
      <w:pPr>
        <w:spacing w:before="120" w:after="120" w:line="240" w:lineRule="auto"/>
        <w:ind w:firstLine="709"/>
        <w:jc w:val="both"/>
        <w:rPr>
          <w:szCs w:val="28"/>
        </w:rPr>
      </w:pPr>
      <w:r w:rsidRPr="00993FE8">
        <w:rPr>
          <w:szCs w:val="28"/>
        </w:rPr>
        <w:t>1.1. Xác định vấn đề bất cập</w:t>
      </w:r>
    </w:p>
    <w:p w:rsidR="003945CD" w:rsidRPr="00DD6063" w:rsidRDefault="003945CD" w:rsidP="003945CD">
      <w:pPr>
        <w:spacing w:before="120" w:after="120" w:line="240" w:lineRule="auto"/>
        <w:ind w:firstLine="709"/>
        <w:jc w:val="both"/>
        <w:rPr>
          <w:szCs w:val="28"/>
        </w:rPr>
      </w:pPr>
      <w:r w:rsidRPr="00DD6063">
        <w:rPr>
          <w:szCs w:val="28"/>
        </w:rPr>
        <w:t>Trong thực tiễn, quốc gia nào, địa phương nào phát huy được tinh thần đổi mới sáng tạo trong toàn dân, nhất là trong giới trẻ; xây dựng được văn hóa khởi nghiệp sáng tạo trong cộng đồng thì nền kinh tế - xã hội tại quốc gia đó, địa phương đó sẽ không ngừng phát triển mạnh mẽ và dẫn đầu, các quốc gia như Mỹ, Israel, Singapore đã chứng minh điều đó.Văn hóa đổi mới sáng tạo là yếu tố cấu thành quan trọng nhất của một hệ sinh thái khởi nghiệp đổi mới sáng tạo lành mạnh, nó khuyến khích mọi người dám suy nghĩ khác biệt và tôn trọng sự khác biệt, dám mạo hiểm và chấp nhận thất bại. Tuy nhiên, văn hóa đổi mới sáng tạo không phải tự</w:t>
      </w:r>
      <w:r>
        <w:rPr>
          <w:szCs w:val="28"/>
        </w:rPr>
        <w:t xml:space="preserve"> nhiên </w:t>
      </w:r>
      <w:r w:rsidRPr="00DD6063">
        <w:rPr>
          <w:szCs w:val="28"/>
        </w:rPr>
        <w:t xml:space="preserve">có được mà phải trải qua một quá trình thay đổi nhận thức của toàn xã hội về vai trò, ý nghĩa của đổi mới sáng tạo mới hình thành. </w:t>
      </w:r>
    </w:p>
    <w:p w:rsidR="003945CD" w:rsidRDefault="003945CD" w:rsidP="003945CD">
      <w:pPr>
        <w:spacing w:before="120" w:after="120" w:line="240" w:lineRule="auto"/>
        <w:ind w:firstLine="709"/>
        <w:jc w:val="both"/>
        <w:rPr>
          <w:szCs w:val="28"/>
        </w:rPr>
      </w:pPr>
      <w:r w:rsidRPr="00DD6063">
        <w:rPr>
          <w:szCs w:val="28"/>
        </w:rPr>
        <w:t>Theo đánh giá, tỷ lệ lao động qua đào tạo ở Đắk Nông thấp, trình độ của một bộ phận lớn lao động không cao; thói quen canh tác và sản xuất truyền thống rất khó thay đổi đặc biệt là vùng sâu, vùng xa. Vì vậy, tỉnh Đắk Nông cần phải có những chương trình, chính sách hỗ trợ hoạt động tuyên truyền, đào tạo huấn luyện về đổi mới sáng tạonhằm nâng cao nhận thức, thay đổi tư duy của người dân, đặc biệt là những người trẻ. Thông qua các hoạt động tuyên truyền, đào tạo, huấn luyện về đổi mới sáng tạo sẽ giúp họ hiểu rõ vai trò, ý nghĩa của đổi mới sáng tạo từ đó mạnh dạn đổi mới trong sản xuất, kinh doanh.</w:t>
      </w:r>
    </w:p>
    <w:p w:rsidR="003945CD" w:rsidRDefault="003945CD" w:rsidP="003945CD">
      <w:pPr>
        <w:spacing w:before="120" w:after="120" w:line="240" w:lineRule="auto"/>
        <w:ind w:firstLine="709"/>
        <w:jc w:val="both"/>
        <w:rPr>
          <w:szCs w:val="28"/>
        </w:rPr>
      </w:pPr>
      <w:r w:rsidRPr="00993FE8">
        <w:rPr>
          <w:szCs w:val="28"/>
        </w:rPr>
        <w:t>1.2. Mục tiêu giải quyết vấn đề</w:t>
      </w:r>
    </w:p>
    <w:p w:rsidR="003945CD" w:rsidRDefault="003945CD" w:rsidP="003945CD">
      <w:pPr>
        <w:spacing w:before="120" w:after="120" w:line="240" w:lineRule="auto"/>
        <w:ind w:firstLine="709"/>
        <w:jc w:val="both"/>
        <w:rPr>
          <w:szCs w:val="28"/>
        </w:rPr>
      </w:pPr>
      <w:r>
        <w:rPr>
          <w:szCs w:val="28"/>
        </w:rPr>
        <w:t>Thiết lập được chủ thể khởi xướng, kết nối các thành phần trong hệ sinh thái khởi nghiệp đổi mới sáng tạo trong giai đoạn đầu tiên, giúp hình thành và phát triển hệ sinh thái khởi nghiệp đổi mới sáng tạo trên địa bàn tỉnh.</w:t>
      </w:r>
    </w:p>
    <w:p w:rsidR="003945CD" w:rsidRDefault="003945CD" w:rsidP="003945CD">
      <w:pPr>
        <w:spacing w:before="120" w:after="120" w:line="240" w:lineRule="auto"/>
        <w:ind w:firstLine="709"/>
        <w:jc w:val="both"/>
        <w:rPr>
          <w:szCs w:val="28"/>
        </w:rPr>
      </w:pPr>
      <w:r>
        <w:rPr>
          <w:szCs w:val="28"/>
        </w:rPr>
        <w:t>Tăng cường năng lực, kinh nghiệm của các thành phần trong hệ sinh thái khởi nghiệp đổi mới sáng tạo gồm: cơ quan nhà nước có liên quan; cơ sở giáo dục; mạng lưới cung cấp dịch vụ, ươm tạo, tư vấn, hỗ trợ; doanh nghiệp; nhà đầu tư…</w:t>
      </w:r>
    </w:p>
    <w:p w:rsidR="003945CD" w:rsidRDefault="003945CD" w:rsidP="003945CD">
      <w:pPr>
        <w:spacing w:before="120" w:after="120" w:line="240" w:lineRule="auto"/>
        <w:ind w:firstLine="709"/>
        <w:jc w:val="both"/>
        <w:rPr>
          <w:szCs w:val="28"/>
        </w:rPr>
      </w:pPr>
      <w:r>
        <w:rPr>
          <w:szCs w:val="28"/>
        </w:rPr>
        <w:t>Hỗ trợ, thúc đẩy thành lập mạng lưới cơ sở ươm tạo, khu làm việc chung.</w:t>
      </w:r>
    </w:p>
    <w:p w:rsidR="003945CD" w:rsidRDefault="003945CD" w:rsidP="003945CD">
      <w:pPr>
        <w:spacing w:before="120" w:after="120" w:line="240" w:lineRule="auto"/>
        <w:ind w:firstLine="709"/>
        <w:jc w:val="both"/>
        <w:rPr>
          <w:szCs w:val="28"/>
        </w:rPr>
      </w:pPr>
      <w:r w:rsidRPr="00993FE8">
        <w:rPr>
          <w:szCs w:val="28"/>
        </w:rPr>
        <w:t>1.3. Giải pháp đề xuất giải quyết vấn đề</w:t>
      </w:r>
    </w:p>
    <w:p w:rsidR="003945CD" w:rsidRDefault="003945CD" w:rsidP="003945CD">
      <w:pPr>
        <w:spacing w:before="120" w:after="120" w:line="240" w:lineRule="auto"/>
        <w:ind w:firstLine="709"/>
        <w:jc w:val="both"/>
        <w:rPr>
          <w:szCs w:val="28"/>
        </w:rPr>
      </w:pPr>
      <w:r>
        <w:rPr>
          <w:szCs w:val="28"/>
        </w:rPr>
        <w:t xml:space="preserve">- Giải pháp 1: Đào tạo, tuyên truyền, tư vấn hoạt động khởi nghiệp đổi mới sáng tạo (bao gồm chi phí thuê chuyên gia trong và ngoài nước); tổ chức các hoạt động kết nối, hợp tác phát triển hệ sinh thái khởi nghiệp đổi mới sáng tạo của tỉnh, tối đa không quá </w:t>
      </w:r>
      <w:r w:rsidRPr="005F6F3A">
        <w:rPr>
          <w:szCs w:val="28"/>
        </w:rPr>
        <w:t>200 triệu đồng/năm</w:t>
      </w:r>
      <w:r>
        <w:rPr>
          <w:szCs w:val="28"/>
        </w:rPr>
        <w:t>.</w:t>
      </w:r>
    </w:p>
    <w:p w:rsidR="003945CD" w:rsidRDefault="003945CD" w:rsidP="003945CD">
      <w:pPr>
        <w:spacing w:before="120" w:after="120" w:line="240" w:lineRule="auto"/>
        <w:ind w:firstLine="709"/>
        <w:jc w:val="both"/>
        <w:rPr>
          <w:szCs w:val="28"/>
        </w:rPr>
      </w:pPr>
      <w:r>
        <w:rPr>
          <w:szCs w:val="28"/>
        </w:rPr>
        <w:lastRenderedPageBreak/>
        <w:t>- Giải pháp 2: Xây dựng và triển khai các chương trình, giáo dục đào tạo, huấn luyện khởi nghiệp đổi mới sáng tạo tại các cơ sở giáo dục đào tạo, các tổ chức thúc đẩy, hỗ trợ hoạt động khởi nghiệp sáng tạo và thành lập các câu lạc bộ khởi nghiệp sáng tạo, tối đa không quá 50 triệu đồng/đơn vị/năm.</w:t>
      </w:r>
    </w:p>
    <w:p w:rsidR="003945CD" w:rsidRDefault="003945CD" w:rsidP="003945CD">
      <w:pPr>
        <w:spacing w:before="120" w:after="120" w:line="240" w:lineRule="auto"/>
        <w:ind w:firstLine="709"/>
        <w:jc w:val="both"/>
        <w:rPr>
          <w:szCs w:val="28"/>
        </w:rPr>
      </w:pPr>
      <w:r>
        <w:rPr>
          <w:szCs w:val="28"/>
        </w:rPr>
        <w:t>- Giải pháp 3:Hỗ trợ đầu tư trang thiết bị cho cơ sở ươm tạo, không gian làm việc chung ở các huyện, thị xã nhưng tối đa không quá 200 triệu trong một năm cho một đơn vị ở tỉnh hoặc huyện; Hỗ trợ chi phí hoạt động cho cơ sở ươm tạo, không gian làm việc chung, tối đa không quá 100 triệu/năm/đơn vị.</w:t>
      </w:r>
    </w:p>
    <w:p w:rsidR="003945CD" w:rsidRDefault="003945CD" w:rsidP="003945CD">
      <w:pPr>
        <w:spacing w:before="120" w:after="120" w:line="240" w:lineRule="auto"/>
        <w:ind w:firstLine="709"/>
        <w:jc w:val="both"/>
        <w:rPr>
          <w:szCs w:val="28"/>
        </w:rPr>
      </w:pPr>
      <w:r w:rsidRPr="00993FE8">
        <w:rPr>
          <w:szCs w:val="28"/>
        </w:rPr>
        <w:t>1.4. Đánh giá tác động của các giải pháp đối với đối tượng chịu sự tác động trực tiếp của chính sách và các đối tượng khác có liên quan</w:t>
      </w:r>
    </w:p>
    <w:p w:rsidR="003945CD" w:rsidRPr="00D57E6A" w:rsidRDefault="003945CD" w:rsidP="003945CD">
      <w:pPr>
        <w:spacing w:before="120" w:after="120" w:line="240" w:lineRule="auto"/>
        <w:ind w:firstLine="709"/>
        <w:jc w:val="both"/>
        <w:rPr>
          <w:szCs w:val="28"/>
        </w:rPr>
      </w:pPr>
      <w:r w:rsidRPr="00D57E6A">
        <w:rPr>
          <w:szCs w:val="28"/>
        </w:rPr>
        <w:t>- Tác động tích cực của các giải pháp:</w:t>
      </w:r>
    </w:p>
    <w:p w:rsidR="003945CD" w:rsidRPr="00D57E6A" w:rsidRDefault="003945CD" w:rsidP="003945CD">
      <w:pPr>
        <w:spacing w:before="120" w:after="120" w:line="240" w:lineRule="auto"/>
        <w:ind w:firstLine="709"/>
        <w:jc w:val="both"/>
        <w:rPr>
          <w:szCs w:val="28"/>
        </w:rPr>
      </w:pPr>
      <w:r w:rsidRPr="00D57E6A">
        <w:rPr>
          <w:szCs w:val="28"/>
        </w:rPr>
        <w:t>+ Thực hiện giải pháp 1 và 2 sẽ góp phần hình thành văn hóa đổi mới sáng tạo ở địa phương; nâng cao năng lực, kinh nghiệm của các thành phần trong hệ sinh thái khởi nghiệp đổi mới sáng tạo.</w:t>
      </w:r>
    </w:p>
    <w:p w:rsidR="003945CD" w:rsidRPr="00D57E6A" w:rsidRDefault="003945CD" w:rsidP="003945CD">
      <w:pPr>
        <w:spacing w:before="120" w:after="120" w:line="240" w:lineRule="auto"/>
        <w:ind w:firstLine="709"/>
        <w:jc w:val="both"/>
        <w:rPr>
          <w:szCs w:val="28"/>
        </w:rPr>
      </w:pPr>
      <w:r w:rsidRPr="00D57E6A">
        <w:rPr>
          <w:szCs w:val="28"/>
        </w:rPr>
        <w:t>+ Thực hiện giải pháp 3 sẽ giúp các doanh nghiệp nhỏ và vừa khởi nghiệp sáng tạo cónguồn lực, động lực tham gia khởi nghiệp đổi mới sáng tạo.</w:t>
      </w:r>
    </w:p>
    <w:p w:rsidR="003945CD" w:rsidRPr="00D57E6A" w:rsidRDefault="003945CD" w:rsidP="003945CD">
      <w:pPr>
        <w:spacing w:before="120" w:after="120" w:line="240" w:lineRule="auto"/>
        <w:ind w:firstLine="709"/>
        <w:jc w:val="both"/>
        <w:rPr>
          <w:szCs w:val="28"/>
        </w:rPr>
      </w:pPr>
      <w:r w:rsidRPr="00D57E6A">
        <w:rPr>
          <w:szCs w:val="28"/>
        </w:rPr>
        <w:t xml:space="preserve">- Tác động tiêu cực của các giải pháp: </w:t>
      </w:r>
    </w:p>
    <w:p w:rsidR="003945CD" w:rsidRPr="00D57E6A" w:rsidRDefault="003945CD" w:rsidP="003945CD">
      <w:pPr>
        <w:spacing w:before="120" w:after="120" w:line="240" w:lineRule="auto"/>
        <w:ind w:firstLine="709"/>
        <w:jc w:val="both"/>
        <w:rPr>
          <w:szCs w:val="28"/>
        </w:rPr>
      </w:pPr>
      <w:r w:rsidRPr="00D57E6A">
        <w:rPr>
          <w:szCs w:val="28"/>
        </w:rPr>
        <w:t>+ Đối với giải pháp 1 và 2, nếu triển khai thực hiện mang tính hình thức, không chú trọng đến chất lượng, hiệu quả sẽ không thu hút được các đối tượng tham gia, gây lãng phí ngân sách của nhà nước.</w:t>
      </w:r>
    </w:p>
    <w:p w:rsidR="003945CD" w:rsidRPr="00D57E6A" w:rsidRDefault="003945CD" w:rsidP="003945CD">
      <w:pPr>
        <w:spacing w:before="120" w:after="120" w:line="240" w:lineRule="auto"/>
        <w:ind w:firstLine="709"/>
        <w:jc w:val="both"/>
        <w:rPr>
          <w:szCs w:val="28"/>
        </w:rPr>
      </w:pPr>
      <w:r w:rsidRPr="00D57E6A">
        <w:rPr>
          <w:szCs w:val="28"/>
        </w:rPr>
        <w:t>+ Đối với giải pháp 3, nếu các doanh nghiệp nhỏ và vừa không hiểu rõ mục đích, ý nghĩa của các cơ sở ươm tạo, khu làm việc chung sẽ hình thành tư tưởng "dựa dẫm, ỷ lại" vào sự hỗ trợ của nhà nước.</w:t>
      </w:r>
    </w:p>
    <w:p w:rsidR="003945CD" w:rsidRDefault="003945CD" w:rsidP="003945CD">
      <w:pPr>
        <w:spacing w:before="120" w:after="120" w:line="240" w:lineRule="auto"/>
        <w:ind w:firstLine="709"/>
        <w:jc w:val="both"/>
        <w:rPr>
          <w:szCs w:val="28"/>
        </w:rPr>
      </w:pPr>
      <w:bookmarkStart w:id="0" w:name="_GoBack"/>
      <w:bookmarkEnd w:id="0"/>
      <w:r w:rsidRPr="00993FE8">
        <w:rPr>
          <w:szCs w:val="28"/>
        </w:rPr>
        <w:t>1.5. Kiến nghị giải pháp lựa chọn (xác định thẩm quyền ban hành chính sách để giải quyết vấn đề)</w:t>
      </w:r>
    </w:p>
    <w:p w:rsidR="003945CD" w:rsidRDefault="003945CD" w:rsidP="003945CD">
      <w:pPr>
        <w:spacing w:before="120" w:after="120" w:line="240" w:lineRule="auto"/>
        <w:ind w:firstLine="709"/>
        <w:jc w:val="both"/>
        <w:rPr>
          <w:szCs w:val="28"/>
        </w:rPr>
      </w:pPr>
      <w:r>
        <w:rPr>
          <w:szCs w:val="28"/>
        </w:rPr>
        <w:t>Để giải quyết những vấn đề bất cập hiện nay, tỉnh Đắk Nông cần một chính sách hỗ trợ thực tế, gắn với nhu cầu của doanh nghiệp nhỏ và vừa khởi nghiệp sáng tạo:</w:t>
      </w:r>
    </w:p>
    <w:p w:rsidR="003945CD" w:rsidRDefault="003945CD" w:rsidP="003945CD">
      <w:pPr>
        <w:spacing w:before="120" w:after="120" w:line="240" w:lineRule="auto"/>
        <w:ind w:firstLine="709"/>
        <w:jc w:val="both"/>
        <w:rPr>
          <w:szCs w:val="28"/>
        </w:rPr>
      </w:pPr>
      <w:r>
        <w:rPr>
          <w:szCs w:val="28"/>
        </w:rPr>
        <w:t>- Hội đồng nhân dân tỉnh ban hành nghị quyết về chính sách hỗ trợ doanh nghiệp vừa và nhỏ khởi nghiệp đổi mới sáng tạo.</w:t>
      </w:r>
    </w:p>
    <w:p w:rsidR="003945CD" w:rsidRDefault="003945CD" w:rsidP="003945CD">
      <w:pPr>
        <w:spacing w:before="120" w:after="120" w:line="240" w:lineRule="auto"/>
        <w:ind w:firstLine="709"/>
        <w:jc w:val="both"/>
        <w:rPr>
          <w:szCs w:val="28"/>
        </w:rPr>
      </w:pPr>
      <w:r>
        <w:rPr>
          <w:szCs w:val="28"/>
        </w:rPr>
        <w:t>- Ủy ban nhân dân tỉnh xây dựng đề án hỗ trợ doanh nghiệp nhỏ và vừa khởi nghiệp sáng tạo.</w:t>
      </w:r>
    </w:p>
    <w:p w:rsidR="003945CD" w:rsidRPr="00E8629B" w:rsidRDefault="003945CD" w:rsidP="003945CD">
      <w:pPr>
        <w:pStyle w:val="Heading2"/>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E8629B">
        <w:rPr>
          <w:rFonts w:ascii="Times New Roman" w:hAnsi="Times New Roman" w:cs="Times New Roman"/>
          <w:color w:val="auto"/>
          <w:sz w:val="28"/>
          <w:szCs w:val="28"/>
        </w:rPr>
        <w:t>2. Chính sách 2: Hỗ trợ doanh nghiệp nhỏ và vừa khởi nghiệp sángtạo</w:t>
      </w:r>
    </w:p>
    <w:p w:rsidR="003945CD" w:rsidRDefault="003945CD" w:rsidP="003945CD">
      <w:pPr>
        <w:spacing w:before="120" w:after="120" w:line="240" w:lineRule="auto"/>
        <w:ind w:firstLine="709"/>
        <w:jc w:val="both"/>
        <w:rPr>
          <w:szCs w:val="28"/>
        </w:rPr>
      </w:pPr>
      <w:r>
        <w:rPr>
          <w:szCs w:val="28"/>
        </w:rPr>
        <w:t>2.1. Xác định vấn đề bất cập</w:t>
      </w:r>
    </w:p>
    <w:p w:rsidR="003945CD" w:rsidRDefault="003945CD" w:rsidP="003945CD">
      <w:pPr>
        <w:spacing w:before="120" w:after="120" w:line="240" w:lineRule="auto"/>
        <w:ind w:firstLine="709"/>
        <w:jc w:val="both"/>
        <w:rPr>
          <w:szCs w:val="28"/>
        </w:rPr>
      </w:pPr>
      <w:r>
        <w:rPr>
          <w:szCs w:val="28"/>
        </w:rPr>
        <w:t xml:space="preserve">Doanh nghiệp đang hoạt động trên địa bàn tỉnh Đắk Nông chủ yếu là doanh nghiệp siêu nhỏ, nhỏ và vừa thuộc thành phần kinh tế tư nhân. Các doanh nghiệp này đang góp phần không nhỏ cho phát triển kinh tế xã hội của tỉnh, tạo </w:t>
      </w:r>
      <w:r>
        <w:rPr>
          <w:szCs w:val="28"/>
        </w:rPr>
        <w:lastRenderedPageBreak/>
        <w:t>công ăn việc làm, huy động các nguồn vốn trong và ngoài nước cho hoạt động sản xuất kinh doanh, giải quyết các vấn đề xã hội.Hơn nữa, theo đánh giá thì Đắk Nông có khá nhiều điều kiện để khởi nghiệp nói chung và khởi nghiệp đổi mới sáng tạo nói riêng trong lĩnh vực nông nghiệp và du lịch. Nhận thấy vai trò quan trọng của các doanh nghiệp vừa và nhỏ đối với sự phát triển kinh tế xã hội địa phương, trong chính sách khuyến khích, hỗ trợ đầu tư vào tỉnh Đắk Nông (Nghị quyết 06/2018/NQ-HĐND ngày 02/8/2018 của Hội đồng nhân dân tỉnh Đắk Nông) xác định đối tượng áp dụng có doanh nghiệp nhỏ và vừa (trừ doanh nghiệp có vốn đầu tư nước ngoài, doanh nghiệp có vốn thuộc sở hữu nhà nước) đầu tư sản xuất, kinh doanh trong các khu, cụm công nghiệp, khu nông nghiệp ứng dụng công nghệ cao đồng thời bố trí vốn đầu tư phát triển từ ngân sách địa phương cho Quỹ Đầu tư phát triển tỉnh để đầu tư cho doanh nghiệp nhỏ và vừa khởi nghiệp sáng tạo. Nhưng như vậy vẫn chưa thể giúp cho hoạt động khởi nghiệp sáng tạo của địa phương khởi sắc bởi vì khởi nghiệp đổi mới sáng tạo là hoạt động vô cùng khó khăn nên cần rất nhiều sự hỗ trợ trong quá trình hình thành và phát triển.</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szCs w:val="28"/>
        </w:rPr>
        <w:t>Ngày 11/3/2018, Chính phủ đã ban hành Nghị định 39/2018/NĐ-CP, quy định chi tiết một số điều của Luật Hỗ trợ doanh nghiệp nhỏ và vừa trong đó quy định các nội dung nhằm hỗ trợ doanh nghiệp nhỏ và vừa khởi nghiệp sáng tạo với đối tượng áp dụng là các doanh nghiệp đáp ứng các tiêu chí xác định doanh nghiệp nhỏ và vừa. Căn cứ theo các quy định của Nghị định này, nhiều địa phương khác trong nước đã ban hành các chính sách để hỗ trợ các doanh nghiệp nhỏ và vừa khởi nghiệp sáng tạo. Trong khi đó, hiện nay tỉnh Đắk Nông chưa có chính sách hỗ trợ cho doanh nghiệp khởi nghiệp sáng tạo mặc dù theo đánh giá thì tỉnh Đắk Nông có khá nhiều điều kiện để khởi nghiệp trong các lĩnh vực nông nghiệp và du lịch.</w:t>
      </w:r>
    </w:p>
    <w:p w:rsidR="003945CD" w:rsidRDefault="003945CD" w:rsidP="003945CD">
      <w:pPr>
        <w:spacing w:before="120" w:after="120" w:line="240" w:lineRule="auto"/>
        <w:ind w:firstLine="709"/>
        <w:jc w:val="both"/>
        <w:rPr>
          <w:rStyle w:val="Strong"/>
          <w:rFonts w:cs="Times New Roman"/>
          <w:b w:val="0"/>
          <w:color w:val="000000"/>
          <w:szCs w:val="28"/>
          <w:shd w:val="clear" w:color="auto" w:fill="FFFFFF"/>
        </w:rPr>
      </w:pPr>
      <w:r>
        <w:rPr>
          <w:rStyle w:val="Strong"/>
          <w:rFonts w:cs="Times New Roman"/>
          <w:b w:val="0"/>
          <w:color w:val="000000"/>
          <w:szCs w:val="28"/>
          <w:shd w:val="clear" w:color="auto" w:fill="FFFFFF"/>
        </w:rPr>
        <w:t>2.2. Mục tiêu giải quyết vấn đề</w:t>
      </w:r>
    </w:p>
    <w:p w:rsidR="003945CD" w:rsidRDefault="003945CD" w:rsidP="003945CD">
      <w:pPr>
        <w:spacing w:before="120" w:after="120" w:line="240" w:lineRule="auto"/>
        <w:ind w:firstLine="709"/>
        <w:jc w:val="both"/>
        <w:rPr>
          <w:szCs w:val="28"/>
        </w:rPr>
      </w:pPr>
      <w:r>
        <w:rPr>
          <w:szCs w:val="28"/>
        </w:rPr>
        <w:t>Hỗ trợ doanh nghiệp nhỏ và vừa khởi nghiệp sáng tạo một phần kinh phí từ nguồn ngân sách của tỉnh nhằm khích lệ các nhỏ và vừa khởi nghiệp tiếp tục đầu tư nghiên cứu phát triển sản phẩm mới, hoàn thiện công nghệ sản xuất để duy trì sự sáng tạo.</w:t>
      </w:r>
    </w:p>
    <w:p w:rsidR="003945CD" w:rsidRDefault="003945CD" w:rsidP="003945CD">
      <w:pPr>
        <w:spacing w:before="120" w:after="120" w:line="240" w:lineRule="auto"/>
        <w:ind w:firstLine="709"/>
        <w:jc w:val="both"/>
        <w:rPr>
          <w:szCs w:val="28"/>
        </w:rPr>
      </w:pPr>
      <w:r>
        <w:rPr>
          <w:szCs w:val="28"/>
        </w:rPr>
        <w:t>2.3. Giải pháp đề xuất giải quyết vấn đề</w:t>
      </w:r>
    </w:p>
    <w:p w:rsidR="003945CD" w:rsidRDefault="003945CD" w:rsidP="003945CD">
      <w:pPr>
        <w:spacing w:before="120" w:after="120" w:line="240" w:lineRule="auto"/>
        <w:ind w:firstLine="709"/>
        <w:jc w:val="both"/>
        <w:rPr>
          <w:szCs w:val="28"/>
        </w:rPr>
      </w:pPr>
      <w:r>
        <w:rPr>
          <w:szCs w:val="28"/>
        </w:rPr>
        <w:t>- Hỗ trợ tư vấn về sở hữu trí tuệ; khai thác và phát triển tài sản trí tuệ:</w:t>
      </w:r>
    </w:p>
    <w:p w:rsidR="003945CD" w:rsidRDefault="003945CD" w:rsidP="003945CD">
      <w:pPr>
        <w:spacing w:before="120" w:after="120" w:line="240" w:lineRule="auto"/>
        <w:ind w:firstLine="709"/>
        <w:jc w:val="both"/>
        <w:rPr>
          <w:szCs w:val="28"/>
        </w:rPr>
      </w:pPr>
      <w:r>
        <w:rPr>
          <w:szCs w:val="28"/>
        </w:rPr>
        <w:t>+ Hỗ trợ 100% giá trị hợp đồng tư vấn về thủ tục xác lập, chuyển giao, bảo vệ quyền sở hữu trí tuệ;</w:t>
      </w:r>
    </w:p>
    <w:p w:rsidR="003945CD" w:rsidRDefault="003945CD" w:rsidP="003945CD">
      <w:pPr>
        <w:spacing w:before="120" w:after="120" w:line="240" w:lineRule="auto"/>
        <w:ind w:firstLine="709"/>
        <w:jc w:val="both"/>
        <w:rPr>
          <w:szCs w:val="28"/>
        </w:rPr>
      </w:pPr>
      <w:r>
        <w:rPr>
          <w:szCs w:val="28"/>
        </w:rPr>
        <w:t>+ Hỗ trợ 100% giá trị hợp đồng tư vấn về xây dựng và thực hiện chính sách, chiến lược hoạt động sở hữu trí tuệ;</w:t>
      </w:r>
    </w:p>
    <w:p w:rsidR="003945CD" w:rsidRDefault="003945CD" w:rsidP="003945CD">
      <w:pPr>
        <w:spacing w:before="120" w:after="120" w:line="240" w:lineRule="auto"/>
        <w:ind w:firstLine="709"/>
        <w:jc w:val="both"/>
        <w:rPr>
          <w:szCs w:val="28"/>
        </w:rPr>
      </w:pPr>
      <w:r>
        <w:rPr>
          <w:szCs w:val="28"/>
        </w:rPr>
        <w:t>+ Hỗ trợ 100% giá trị hợp đồng tư vấn và thiết kế, đăng ký bảo hỗ, khai thác và phát triển giá trị của nhãn hiệu, kiểu dáng công nghiệp, sáng chế;</w:t>
      </w:r>
    </w:p>
    <w:p w:rsidR="003945CD" w:rsidRDefault="003945CD" w:rsidP="003945CD">
      <w:pPr>
        <w:spacing w:before="120" w:after="120" w:line="240" w:lineRule="auto"/>
        <w:ind w:firstLine="709"/>
        <w:jc w:val="both"/>
        <w:rPr>
          <w:szCs w:val="28"/>
        </w:rPr>
      </w:pPr>
      <w:r>
        <w:rPr>
          <w:szCs w:val="28"/>
        </w:rPr>
        <w:t>+ Hỗ trợ 100% giá trị hợp đồng tư vấn về xây dựng và phát triển tài sản trí tuệ đối với chỉ dẫn địa lý.</w:t>
      </w:r>
    </w:p>
    <w:p w:rsidR="003945CD" w:rsidRDefault="003945CD" w:rsidP="003945CD">
      <w:pPr>
        <w:spacing w:before="120" w:after="120" w:line="240" w:lineRule="auto"/>
        <w:ind w:firstLine="709"/>
        <w:jc w:val="both"/>
        <w:rPr>
          <w:szCs w:val="28"/>
        </w:rPr>
      </w:pPr>
      <w:r>
        <w:rPr>
          <w:szCs w:val="28"/>
        </w:rPr>
        <w:lastRenderedPageBreak/>
        <w:t>- Hỗ trợ thực hiện các thủ tục về tiêu chuẩn, quy chuẩn kỹ thuật, đo lường, chất lượng; thử nghiệm, hoàn thiện sản phẩm mới, mô hình kinh doanh mới:</w:t>
      </w:r>
    </w:p>
    <w:p w:rsidR="003945CD" w:rsidRDefault="003945CD" w:rsidP="003945CD">
      <w:pPr>
        <w:spacing w:before="120" w:after="120" w:line="240" w:lineRule="auto"/>
        <w:ind w:firstLine="709"/>
        <w:jc w:val="both"/>
        <w:rPr>
          <w:szCs w:val="28"/>
        </w:rPr>
      </w:pPr>
      <w:r>
        <w:rPr>
          <w:szCs w:val="28"/>
        </w:rPr>
        <w:t>+ Cung cấp thông tin miễn phí về hệ thống các tiêu chuẩn, quy chuẩn trong nước và quốc tế thuộc lĩnh vực sản xuất kinh doanh của doanh nghiệp khởi nghiệp sáng tạo;</w:t>
      </w:r>
    </w:p>
    <w:p w:rsidR="003945CD" w:rsidRDefault="003945CD" w:rsidP="003945CD">
      <w:pPr>
        <w:spacing w:before="120" w:after="120" w:line="240" w:lineRule="auto"/>
        <w:ind w:firstLine="709"/>
        <w:jc w:val="both"/>
        <w:rPr>
          <w:szCs w:val="28"/>
        </w:rPr>
      </w:pPr>
      <w:r>
        <w:rPr>
          <w:szCs w:val="28"/>
        </w:rPr>
        <w:t>+ Hỗ trợ 100% giá trị hợp đồng tư vấn để doanh nghiệp xây dựng tiêu chuẩn cơ sở;</w:t>
      </w:r>
    </w:p>
    <w:p w:rsidR="003945CD" w:rsidRDefault="003945CD" w:rsidP="003945CD">
      <w:pPr>
        <w:spacing w:before="120" w:after="120" w:line="240" w:lineRule="auto"/>
        <w:ind w:firstLine="709"/>
        <w:jc w:val="both"/>
        <w:rPr>
          <w:szCs w:val="28"/>
        </w:rPr>
      </w:pPr>
      <w:r>
        <w:rPr>
          <w:szCs w:val="28"/>
        </w:rPr>
        <w:t>+ Giảm 50% phí thử nghiệm mẫu phương tiện đo; giảm 50% phí kiểm định, hiệu chuẩn, thử nghiệm phương tiện đo, chuẩn đo lường; giảm 50% chi phí cấp dấu định lượng của hàng đóng gói sẵn phù hợp với yêu cầu kỹ thuật đo lường nhưng không quá 10 triệu đồng trên một lần thử và không quá 01 lần trên năm;</w:t>
      </w:r>
    </w:p>
    <w:p w:rsidR="003945CD" w:rsidRDefault="003945CD" w:rsidP="003945CD">
      <w:pPr>
        <w:spacing w:before="120" w:after="120" w:line="240" w:lineRule="auto"/>
        <w:ind w:firstLine="709"/>
        <w:jc w:val="both"/>
        <w:rPr>
          <w:szCs w:val="28"/>
        </w:rPr>
      </w:pPr>
      <w:r>
        <w:rPr>
          <w:szCs w:val="28"/>
        </w:rPr>
        <w:t>+ Hỗ trợ 100% giá trị hợp đồng tư vấn để doanh nghiệp khởi nghiệp sáng tạo tự tổ chức đo lường;</w:t>
      </w:r>
    </w:p>
    <w:p w:rsidR="003945CD" w:rsidRDefault="003945CD" w:rsidP="003945CD">
      <w:pPr>
        <w:spacing w:before="120" w:after="120" w:line="240" w:lineRule="auto"/>
        <w:ind w:firstLine="709"/>
        <w:jc w:val="both"/>
        <w:rPr>
          <w:szCs w:val="28"/>
        </w:rPr>
      </w:pPr>
      <w:r>
        <w:rPr>
          <w:szCs w:val="28"/>
        </w:rPr>
        <w:t>+ Giảm 50% phí thử nghiệm về chất lượng hàng hóa tại hệ thống thử nghiệm thuộc cơ quan quản lý nhà nước nhưng không quá 10 triệu đồng trên một lần thử và không quá 01 lần trên năm.</w:t>
      </w:r>
    </w:p>
    <w:p w:rsidR="003945CD" w:rsidRDefault="003945CD" w:rsidP="003945CD">
      <w:pPr>
        <w:spacing w:before="120" w:after="120" w:line="240" w:lineRule="auto"/>
        <w:ind w:firstLine="709"/>
        <w:jc w:val="both"/>
        <w:rPr>
          <w:szCs w:val="28"/>
        </w:rPr>
      </w:pPr>
      <w:r>
        <w:rPr>
          <w:szCs w:val="28"/>
        </w:rPr>
        <w:t>- Hỗ trợ về ứng dụng, chuyển giao công nghệ: Hỗ trợ 50% chi phí hợp đồng ứng dụng công nghệ cao, hợp đồng chuyển giao công nghệ nhưng không quá 100 triệu trên một hợp đồng và không quá một hợp đồng mỗi năm.</w:t>
      </w:r>
    </w:p>
    <w:p w:rsidR="003945CD" w:rsidRDefault="003945CD" w:rsidP="003945CD">
      <w:pPr>
        <w:spacing w:before="120" w:after="120" w:line="240" w:lineRule="auto"/>
        <w:ind w:firstLine="709"/>
        <w:jc w:val="both"/>
        <w:rPr>
          <w:szCs w:val="28"/>
        </w:rPr>
      </w:pPr>
      <w:r>
        <w:rPr>
          <w:szCs w:val="28"/>
        </w:rPr>
        <w:t>- Hỗ trợ về đào tạo, thông tin, xúc tiến thương mại, thương mại hóa:</w:t>
      </w:r>
    </w:p>
    <w:p w:rsidR="003945CD" w:rsidRDefault="003945CD" w:rsidP="003945CD">
      <w:pPr>
        <w:spacing w:before="120" w:after="120" w:line="240" w:lineRule="auto"/>
        <w:ind w:firstLine="709"/>
        <w:jc w:val="both"/>
        <w:rPr>
          <w:szCs w:val="28"/>
        </w:rPr>
      </w:pPr>
      <w:r>
        <w:rPr>
          <w:szCs w:val="28"/>
        </w:rPr>
        <w:t>+ Hỗ trợ 50% chi phí đào tạo chuyên sâu về các nội dung sau: xây dựng, phát triển sản phẩm; thương mại hóa sản phẩm, gọi vốn đầu tư; phát triển thị trường; kết nối mạng lưới khởi nghiệp với các tổ chức, cá nhân nghiên cứu khoa học. Chi phí hỗ trợ không quá 20 triệu đồng trên một khóa học đào tạo và không quá 01 khóa đào tạo trên năm;</w:t>
      </w:r>
    </w:p>
    <w:p w:rsidR="003945CD" w:rsidRDefault="003945CD" w:rsidP="003945CD">
      <w:pPr>
        <w:spacing w:before="120" w:after="120" w:line="240" w:lineRule="auto"/>
        <w:ind w:firstLine="709"/>
        <w:jc w:val="both"/>
        <w:rPr>
          <w:szCs w:val="28"/>
        </w:rPr>
      </w:pPr>
      <w:r>
        <w:rPr>
          <w:szCs w:val="28"/>
        </w:rPr>
        <w:t>+ Miễn phí tra cứu, khai thác, cung cấp thông tin, cơ sở dữ liệu về sáng chế, thông tin công nghệ, kết quả nghiên cứu;</w:t>
      </w:r>
    </w:p>
    <w:p w:rsidR="003945CD" w:rsidRDefault="003945CD" w:rsidP="003945CD">
      <w:pPr>
        <w:spacing w:before="120" w:after="120" w:line="240" w:lineRule="auto"/>
        <w:ind w:firstLine="709"/>
        <w:jc w:val="both"/>
        <w:rPr>
          <w:szCs w:val="28"/>
        </w:rPr>
      </w:pPr>
      <w:r>
        <w:rPr>
          <w:szCs w:val="28"/>
        </w:rPr>
        <w:t>+ Hỗ trợ 100% chi phí gian hàng tại Hội chợ triển lãm xúc tiến thương mại trong nước và quốc tế; được ưu tiên tham gia Chương trình xúc tiến thương mại có sử dụng ngân sách nhà nước;</w:t>
      </w:r>
    </w:p>
    <w:p w:rsidR="003945CD" w:rsidRDefault="003945CD" w:rsidP="003945CD">
      <w:pPr>
        <w:spacing w:before="120" w:after="120" w:line="240" w:lineRule="auto"/>
        <w:ind w:firstLine="709"/>
        <w:jc w:val="both"/>
        <w:rPr>
          <w:szCs w:val="28"/>
        </w:rPr>
      </w:pPr>
      <w:r>
        <w:rPr>
          <w:szCs w:val="28"/>
        </w:rPr>
        <w:t>+ Miễn phí cung cấp thông tin, truyền thông về kết nối mạng lưới khởi nghiệp sáng tạo, thu hút đầu tư từ quỹ đầu tư khởi nghiệp sáng tạo.</w:t>
      </w:r>
    </w:p>
    <w:p w:rsidR="003945CD" w:rsidRDefault="003945CD" w:rsidP="003945CD">
      <w:pPr>
        <w:spacing w:before="120" w:after="120" w:line="240" w:lineRule="auto"/>
        <w:ind w:firstLine="709"/>
        <w:jc w:val="both"/>
        <w:rPr>
          <w:szCs w:val="28"/>
        </w:rPr>
      </w:pPr>
      <w:r>
        <w:rPr>
          <w:szCs w:val="28"/>
        </w:rPr>
        <w:t>- Hỗ trợ sử dụng cơ sở kỹ thuật, cơ sở ươm tạo, khu làm việc chung: Hỗ trợ 100% chi phí sử dụng trang thiết bị tại các cơ sở kỹ thuật hỗ trợ doanh nghiệp vừa và nhỏ.</w:t>
      </w:r>
    </w:p>
    <w:p w:rsidR="003945CD" w:rsidRDefault="003945CD" w:rsidP="003945CD">
      <w:pPr>
        <w:spacing w:before="120" w:after="120" w:line="240" w:lineRule="auto"/>
        <w:ind w:firstLine="709"/>
        <w:jc w:val="both"/>
        <w:rPr>
          <w:szCs w:val="28"/>
        </w:rPr>
      </w:pPr>
      <w:r>
        <w:rPr>
          <w:szCs w:val="28"/>
        </w:rPr>
        <w:t>2.4. Đánh giá tác động của các giải pháp đối với đối tượng chịu sự tác động trực tiếp của chính sách và các đối tượng khác có liên quan.</w:t>
      </w:r>
    </w:p>
    <w:p w:rsidR="003945CD" w:rsidRDefault="003945CD" w:rsidP="003945CD">
      <w:pPr>
        <w:spacing w:before="120" w:after="120" w:line="240" w:lineRule="auto"/>
        <w:ind w:firstLine="709"/>
        <w:jc w:val="both"/>
        <w:rPr>
          <w:szCs w:val="28"/>
        </w:rPr>
      </w:pPr>
      <w:r>
        <w:rPr>
          <w:szCs w:val="28"/>
        </w:rPr>
        <w:lastRenderedPageBreak/>
        <w:t>Chính sách tác động trực tiếp và tích cực đến doanh nghiệp nhỏ và vừa khởi nghiệp đổi mới sáng tạo. Các giải pháp thực hiện của chính sách này đã được quy định tại Nghị định số 39/2018/NĐ-CP ngày 11/3/2018.</w:t>
      </w:r>
    </w:p>
    <w:p w:rsidR="003945CD" w:rsidRDefault="003945CD" w:rsidP="003945CD">
      <w:pPr>
        <w:spacing w:before="120" w:after="120" w:line="240" w:lineRule="auto"/>
        <w:ind w:firstLine="709"/>
        <w:jc w:val="both"/>
        <w:rPr>
          <w:szCs w:val="28"/>
        </w:rPr>
      </w:pPr>
      <w:r>
        <w:rPr>
          <w:szCs w:val="28"/>
        </w:rPr>
        <w:t>2.5. Kiến nghị giải pháp lựa chọn (xác định thẩm quyền ban hành chính sách để giải quyết vấn đề)</w:t>
      </w:r>
    </w:p>
    <w:p w:rsidR="003945CD" w:rsidRDefault="003945CD" w:rsidP="003945CD">
      <w:pPr>
        <w:spacing w:before="120" w:after="120" w:line="240" w:lineRule="auto"/>
        <w:ind w:firstLine="709"/>
        <w:jc w:val="both"/>
        <w:rPr>
          <w:szCs w:val="28"/>
        </w:rPr>
      </w:pPr>
      <w:r>
        <w:rPr>
          <w:szCs w:val="28"/>
        </w:rPr>
        <w:t>Để giải quyết những vấn đề bất cập hiện nay, tỉnh Đắk Nông cần một chính sách hỗ trợ thực tế, gắn với nhu cầu của doanh nghiệp nhỏ và vừa khởi nghiệp sáng tạo:</w:t>
      </w:r>
    </w:p>
    <w:p w:rsidR="003945CD" w:rsidRDefault="003945CD" w:rsidP="003945CD">
      <w:pPr>
        <w:spacing w:before="120" w:after="120" w:line="240" w:lineRule="auto"/>
        <w:ind w:firstLine="709"/>
        <w:jc w:val="both"/>
        <w:rPr>
          <w:szCs w:val="28"/>
        </w:rPr>
      </w:pPr>
      <w:r>
        <w:rPr>
          <w:szCs w:val="28"/>
        </w:rPr>
        <w:t>- Hội đồng nhân dân tỉnh ban hành nghị quyết về chính sách hỗ trợ doanh nghiệp vừa và nhỏ khởi nghiệp đổi mới sáng tạo.</w:t>
      </w:r>
    </w:p>
    <w:p w:rsidR="003945CD" w:rsidRDefault="003945CD" w:rsidP="003945CD">
      <w:pPr>
        <w:spacing w:before="120" w:after="120" w:line="240" w:lineRule="auto"/>
        <w:ind w:firstLine="709"/>
        <w:jc w:val="both"/>
        <w:rPr>
          <w:szCs w:val="28"/>
        </w:rPr>
      </w:pPr>
      <w:r>
        <w:rPr>
          <w:szCs w:val="28"/>
        </w:rPr>
        <w:t>- Ủy ban nhân dân tỉnh xây dựng đề án hỗ trợ doanh nghiệp nhỏ và vừa khởi nghiệp sáng tạo.</w:t>
      </w:r>
    </w:p>
    <w:p w:rsidR="003945CD" w:rsidRPr="00E8629B" w:rsidRDefault="003945CD" w:rsidP="003945CD">
      <w:pPr>
        <w:pStyle w:val="Heading1"/>
        <w:spacing w:before="120" w:after="120" w:line="240" w:lineRule="auto"/>
        <w:jc w:val="both"/>
        <w:rPr>
          <w:rFonts w:ascii="Times New Roman" w:hAnsi="Times New Roman" w:cs="Times New Roman"/>
          <w:color w:val="auto"/>
        </w:rPr>
      </w:pPr>
      <w:r>
        <w:rPr>
          <w:rFonts w:ascii="Times New Roman" w:hAnsi="Times New Roman" w:cs="Times New Roman"/>
          <w:color w:val="auto"/>
        </w:rPr>
        <w:tab/>
      </w:r>
      <w:r w:rsidRPr="00E8629B">
        <w:rPr>
          <w:rFonts w:ascii="Times New Roman" w:hAnsi="Times New Roman" w:cs="Times New Roman"/>
          <w:color w:val="auto"/>
        </w:rPr>
        <w:t>III. Lấy ý kiến</w:t>
      </w:r>
    </w:p>
    <w:p w:rsidR="003945CD" w:rsidRDefault="003945CD" w:rsidP="003945CD">
      <w:pPr>
        <w:spacing w:before="120" w:after="120" w:line="240" w:lineRule="auto"/>
        <w:ind w:firstLine="709"/>
        <w:jc w:val="both"/>
        <w:rPr>
          <w:szCs w:val="28"/>
        </w:rPr>
      </w:pPr>
      <w:r>
        <w:rPr>
          <w:szCs w:val="28"/>
        </w:rPr>
        <w:t>Các hình thức lấy ý kiến dự thảo báo cáo đánh giá tác động: dự thảo báo cáo đánh giá tác động cùng với các hồ sơ đề nghị xây dựng nghị quyết được lấy ý kiến bằng nhiều hình thức và nhiều đối tượng khác nhau:</w:t>
      </w:r>
    </w:p>
    <w:p w:rsidR="003945CD" w:rsidRDefault="003945CD" w:rsidP="003945CD">
      <w:pPr>
        <w:spacing w:before="120" w:after="120" w:line="240" w:lineRule="auto"/>
        <w:ind w:firstLine="709"/>
        <w:jc w:val="both"/>
        <w:rPr>
          <w:szCs w:val="28"/>
        </w:rPr>
      </w:pPr>
      <w:r>
        <w:rPr>
          <w:szCs w:val="28"/>
        </w:rPr>
        <w:t>- Dự thảo báo cáo tác động được đăng tải trên công thông tin điện tử của tỉnh trong thời gian 30 ngày để các tổ chức, cá nhân tham gia góp ý.</w:t>
      </w:r>
    </w:p>
    <w:p w:rsidR="003945CD" w:rsidRDefault="003945CD" w:rsidP="003945CD">
      <w:pPr>
        <w:spacing w:before="120" w:after="120" w:line="240" w:lineRule="auto"/>
        <w:ind w:firstLine="709"/>
        <w:jc w:val="both"/>
        <w:rPr>
          <w:szCs w:val="28"/>
        </w:rPr>
      </w:pPr>
      <w:r>
        <w:rPr>
          <w:szCs w:val="28"/>
        </w:rPr>
        <w:t>- Lấy ý kiến các bộ, ngành có liên quan.</w:t>
      </w:r>
    </w:p>
    <w:p w:rsidR="003945CD" w:rsidRDefault="003945CD" w:rsidP="003945CD">
      <w:pPr>
        <w:spacing w:before="120" w:after="120" w:line="240" w:lineRule="auto"/>
        <w:ind w:firstLine="709"/>
        <w:jc w:val="both"/>
        <w:rPr>
          <w:szCs w:val="28"/>
        </w:rPr>
      </w:pPr>
      <w:r>
        <w:rPr>
          <w:szCs w:val="28"/>
        </w:rPr>
        <w:t>- Lấy ý kiến đối với nhóm đối tượng chịu sự tác động trực tiếp (doanh nghiệp) bằng hình thức các phiếu khảo sát.</w:t>
      </w:r>
    </w:p>
    <w:p w:rsidR="003945CD" w:rsidRDefault="003945CD" w:rsidP="003945CD">
      <w:pPr>
        <w:spacing w:before="120" w:after="120" w:line="240" w:lineRule="auto"/>
        <w:ind w:firstLine="709"/>
        <w:jc w:val="both"/>
        <w:rPr>
          <w:szCs w:val="28"/>
        </w:rPr>
      </w:pPr>
      <w:r>
        <w:rPr>
          <w:szCs w:val="28"/>
        </w:rPr>
        <w:t>- Lấy ý kiến các sở, ngành, huyện, thị xã trên địa bàn tỉnh; các hội, hiệp hội bằng văn bản.</w:t>
      </w:r>
    </w:p>
    <w:p w:rsidR="003945CD" w:rsidRPr="00E8629B" w:rsidRDefault="003945CD" w:rsidP="003945CD">
      <w:pPr>
        <w:pStyle w:val="Heading1"/>
        <w:spacing w:before="120" w:after="120" w:line="240" w:lineRule="auto"/>
        <w:jc w:val="both"/>
        <w:rPr>
          <w:rFonts w:ascii="Times New Roman" w:hAnsi="Times New Roman" w:cs="Times New Roman"/>
          <w:color w:val="auto"/>
        </w:rPr>
      </w:pPr>
      <w:r>
        <w:rPr>
          <w:rFonts w:ascii="Times New Roman" w:hAnsi="Times New Roman" w:cs="Times New Roman"/>
          <w:color w:val="auto"/>
        </w:rPr>
        <w:tab/>
      </w:r>
      <w:r w:rsidRPr="00E8629B">
        <w:rPr>
          <w:rFonts w:ascii="Times New Roman" w:hAnsi="Times New Roman" w:cs="Times New Roman"/>
          <w:color w:val="auto"/>
        </w:rPr>
        <w:t>IV. Giám sát và đánh giá</w:t>
      </w:r>
    </w:p>
    <w:p w:rsidR="003945CD" w:rsidRDefault="003945CD" w:rsidP="003945CD">
      <w:pPr>
        <w:spacing w:before="120" w:after="120" w:line="240" w:lineRule="auto"/>
        <w:ind w:firstLine="709"/>
        <w:jc w:val="both"/>
        <w:rPr>
          <w:szCs w:val="28"/>
        </w:rPr>
      </w:pPr>
      <w:r>
        <w:rPr>
          <w:szCs w:val="28"/>
        </w:rPr>
        <w:t>Sở Khoa học và Công nghệ chịu trách nhiệm tổ chức thi hành chính sách. Đồng thời, theo dõi, đánh giá hiệu quả của chính sách, báo cáo Ủy ban nhân dân và Hội đồng nhân dân tỉnh.</w:t>
      </w:r>
    </w:p>
    <w:p w:rsidR="003945CD" w:rsidRDefault="003945CD" w:rsidP="003945CD">
      <w:pPr>
        <w:spacing w:before="120" w:after="120" w:line="240" w:lineRule="auto"/>
        <w:jc w:val="both"/>
        <w:rPr>
          <w:szCs w:val="28"/>
        </w:rPr>
      </w:pPr>
    </w:p>
    <w:tbl>
      <w:tblPr>
        <w:tblW w:w="0" w:type="auto"/>
        <w:tblLook w:val="04A0"/>
      </w:tblPr>
      <w:tblGrid>
        <w:gridCol w:w="4773"/>
        <w:gridCol w:w="4515"/>
      </w:tblGrid>
      <w:tr w:rsidR="003945CD" w:rsidRPr="001455C3" w:rsidTr="00250B01">
        <w:tc>
          <w:tcPr>
            <w:tcW w:w="4928" w:type="dxa"/>
            <w:shd w:val="clear" w:color="auto" w:fill="auto"/>
          </w:tcPr>
          <w:p w:rsidR="003945CD" w:rsidRPr="000F10B4" w:rsidRDefault="003945CD" w:rsidP="00250B01">
            <w:pPr>
              <w:spacing w:after="0" w:line="240" w:lineRule="auto"/>
              <w:rPr>
                <w:rFonts w:eastAsia="Malgun Gothic"/>
                <w:b/>
                <w:i/>
                <w:sz w:val="24"/>
                <w:lang w:val="nl-NL" w:eastAsia="vi-VN"/>
              </w:rPr>
            </w:pPr>
            <w:r w:rsidRPr="000F10B4">
              <w:rPr>
                <w:rFonts w:eastAsia="Malgun Gothic"/>
                <w:b/>
                <w:i/>
                <w:sz w:val="24"/>
                <w:lang w:val="nl-NL" w:eastAsia="vi-VN"/>
              </w:rPr>
              <w:t>Nơi nhận:</w:t>
            </w:r>
          </w:p>
          <w:p w:rsidR="003945CD" w:rsidRDefault="003945CD" w:rsidP="00250B01">
            <w:pPr>
              <w:spacing w:after="0" w:line="240" w:lineRule="auto"/>
              <w:contextualSpacing/>
              <w:rPr>
                <w:rFonts w:eastAsia="Malgun Gothic"/>
                <w:sz w:val="22"/>
                <w:szCs w:val="24"/>
                <w:lang w:val="nl-NL" w:eastAsia="vi-VN"/>
              </w:rPr>
            </w:pPr>
            <w:r>
              <w:rPr>
                <w:rFonts w:eastAsia="Malgun Gothic"/>
                <w:sz w:val="22"/>
                <w:szCs w:val="24"/>
                <w:lang w:val="nl-NL" w:eastAsia="vi-VN"/>
              </w:rPr>
              <w:t xml:space="preserve">- </w:t>
            </w:r>
            <w:r w:rsidR="009F445A">
              <w:rPr>
                <w:rFonts w:eastAsia="Malgun Gothic"/>
                <w:sz w:val="22"/>
                <w:szCs w:val="24"/>
                <w:lang w:val="nl-NL" w:eastAsia="vi-VN"/>
              </w:rPr>
              <w:t>UBND tỉnh</w:t>
            </w:r>
            <w:r>
              <w:rPr>
                <w:rFonts w:eastAsia="Malgun Gothic"/>
                <w:sz w:val="22"/>
                <w:szCs w:val="24"/>
                <w:lang w:val="nl-NL" w:eastAsia="vi-VN"/>
              </w:rPr>
              <w:t>;</w:t>
            </w:r>
          </w:p>
          <w:p w:rsidR="009F445A" w:rsidRDefault="009F445A" w:rsidP="00250B01">
            <w:pPr>
              <w:spacing w:after="0" w:line="240" w:lineRule="auto"/>
              <w:contextualSpacing/>
              <w:rPr>
                <w:rFonts w:eastAsia="Malgun Gothic"/>
                <w:sz w:val="22"/>
                <w:szCs w:val="24"/>
                <w:lang w:val="nl-NL" w:eastAsia="vi-VN"/>
              </w:rPr>
            </w:pPr>
            <w:r>
              <w:rPr>
                <w:rFonts w:eastAsia="Malgun Gothic"/>
                <w:sz w:val="22"/>
                <w:szCs w:val="24"/>
                <w:lang w:val="nl-NL" w:eastAsia="vi-VN"/>
              </w:rPr>
              <w:t>...</w:t>
            </w:r>
          </w:p>
          <w:p w:rsidR="003945CD" w:rsidRDefault="003945CD" w:rsidP="00250B01">
            <w:pPr>
              <w:spacing w:after="0" w:line="240" w:lineRule="auto"/>
              <w:contextualSpacing/>
              <w:rPr>
                <w:rFonts w:eastAsia="Malgun Gothic"/>
                <w:sz w:val="22"/>
                <w:szCs w:val="24"/>
                <w:lang w:val="nl-NL" w:eastAsia="vi-VN"/>
              </w:rPr>
            </w:pPr>
            <w:r>
              <w:rPr>
                <w:rFonts w:eastAsia="Malgun Gothic"/>
                <w:sz w:val="22"/>
                <w:szCs w:val="24"/>
                <w:lang w:val="nl-NL" w:eastAsia="vi-VN"/>
              </w:rPr>
              <w:t xml:space="preserve">- </w:t>
            </w:r>
            <w:r w:rsidR="009F445A">
              <w:rPr>
                <w:rFonts w:eastAsia="Malgun Gothic"/>
                <w:sz w:val="22"/>
                <w:szCs w:val="24"/>
                <w:lang w:val="nl-NL" w:eastAsia="vi-VN"/>
              </w:rPr>
              <w:t>Giám đốc, PGĐ Sở</w:t>
            </w:r>
            <w:r>
              <w:rPr>
                <w:rFonts w:eastAsia="Malgun Gothic"/>
                <w:sz w:val="22"/>
                <w:szCs w:val="24"/>
                <w:lang w:val="nl-NL" w:eastAsia="vi-VN"/>
              </w:rPr>
              <w:t>;</w:t>
            </w:r>
          </w:p>
          <w:p w:rsidR="003945CD" w:rsidRPr="001455C3" w:rsidRDefault="003945CD" w:rsidP="00250B01">
            <w:pPr>
              <w:spacing w:after="0" w:line="240" w:lineRule="auto"/>
              <w:contextualSpacing/>
              <w:rPr>
                <w:rFonts w:eastAsia="Malgun Gothic"/>
                <w:szCs w:val="28"/>
                <w:lang w:val="nl-NL" w:eastAsia="vi-VN"/>
              </w:rPr>
            </w:pPr>
            <w:r>
              <w:rPr>
                <w:rFonts w:eastAsia="Malgun Gothic"/>
                <w:sz w:val="22"/>
                <w:szCs w:val="24"/>
                <w:lang w:val="nl-NL" w:eastAsia="vi-VN"/>
              </w:rPr>
              <w:t>- Lưu VT, CN-SHTT.</w:t>
            </w:r>
          </w:p>
        </w:tc>
        <w:tc>
          <w:tcPr>
            <w:tcW w:w="4648" w:type="dxa"/>
            <w:shd w:val="clear" w:color="auto" w:fill="auto"/>
          </w:tcPr>
          <w:p w:rsidR="003945CD" w:rsidRDefault="003945CD" w:rsidP="00250B01">
            <w:pPr>
              <w:spacing w:after="0" w:line="240" w:lineRule="auto"/>
              <w:jc w:val="center"/>
              <w:rPr>
                <w:rFonts w:eastAsia="Malgun Gothic"/>
                <w:b/>
                <w:szCs w:val="28"/>
                <w:lang w:val="nl-NL" w:eastAsia="vi-VN"/>
              </w:rPr>
            </w:pPr>
            <w:r>
              <w:rPr>
                <w:rFonts w:eastAsia="Malgun Gothic"/>
                <w:b/>
                <w:szCs w:val="28"/>
                <w:lang w:val="nl-NL" w:eastAsia="vi-VN"/>
              </w:rPr>
              <w:t>KT. GIÁM ĐỐC</w:t>
            </w:r>
          </w:p>
          <w:p w:rsidR="003945CD" w:rsidRDefault="003945CD" w:rsidP="00250B01">
            <w:pPr>
              <w:spacing w:after="0" w:line="240" w:lineRule="auto"/>
              <w:jc w:val="center"/>
              <w:rPr>
                <w:rFonts w:eastAsia="Malgun Gothic"/>
                <w:b/>
                <w:szCs w:val="28"/>
                <w:lang w:val="nl-NL" w:eastAsia="vi-VN"/>
              </w:rPr>
            </w:pPr>
            <w:r>
              <w:rPr>
                <w:rFonts w:eastAsia="Malgun Gothic"/>
                <w:b/>
                <w:szCs w:val="28"/>
                <w:lang w:val="nl-NL" w:eastAsia="vi-VN"/>
              </w:rPr>
              <w:t>PHÓ GIÁM ĐỐC</w:t>
            </w:r>
          </w:p>
          <w:p w:rsidR="003945CD" w:rsidRDefault="003945CD" w:rsidP="00250B01">
            <w:pPr>
              <w:spacing w:after="0" w:line="240" w:lineRule="auto"/>
              <w:jc w:val="center"/>
              <w:rPr>
                <w:rFonts w:eastAsia="Malgun Gothic"/>
                <w:b/>
                <w:szCs w:val="28"/>
                <w:lang w:val="nl-NL" w:eastAsia="vi-VN"/>
              </w:rPr>
            </w:pPr>
          </w:p>
          <w:p w:rsidR="003945CD" w:rsidRDefault="003945CD" w:rsidP="00250B01">
            <w:pPr>
              <w:spacing w:after="0" w:line="240" w:lineRule="auto"/>
              <w:jc w:val="center"/>
              <w:rPr>
                <w:rFonts w:eastAsia="Malgun Gothic"/>
                <w:b/>
                <w:szCs w:val="28"/>
                <w:lang w:val="nl-NL" w:eastAsia="vi-VN"/>
              </w:rPr>
            </w:pPr>
          </w:p>
          <w:p w:rsidR="003945CD" w:rsidRDefault="003945CD" w:rsidP="00250B01">
            <w:pPr>
              <w:spacing w:after="0" w:line="240" w:lineRule="auto"/>
              <w:jc w:val="center"/>
              <w:rPr>
                <w:rFonts w:eastAsia="Malgun Gothic"/>
                <w:b/>
                <w:szCs w:val="28"/>
                <w:lang w:val="nl-NL" w:eastAsia="vi-VN"/>
              </w:rPr>
            </w:pPr>
          </w:p>
          <w:p w:rsidR="003945CD" w:rsidRDefault="003945CD" w:rsidP="00250B01">
            <w:pPr>
              <w:spacing w:after="0" w:line="240" w:lineRule="auto"/>
              <w:jc w:val="center"/>
              <w:rPr>
                <w:rFonts w:eastAsia="Malgun Gothic"/>
                <w:b/>
                <w:szCs w:val="28"/>
                <w:lang w:val="nl-NL" w:eastAsia="vi-VN"/>
              </w:rPr>
            </w:pPr>
          </w:p>
          <w:p w:rsidR="003945CD" w:rsidRDefault="003945CD" w:rsidP="00250B01">
            <w:pPr>
              <w:spacing w:after="0" w:line="240" w:lineRule="auto"/>
              <w:jc w:val="center"/>
              <w:rPr>
                <w:rFonts w:eastAsia="Malgun Gothic"/>
                <w:b/>
                <w:szCs w:val="28"/>
                <w:lang w:val="nl-NL" w:eastAsia="vi-VN"/>
              </w:rPr>
            </w:pPr>
          </w:p>
          <w:p w:rsidR="003945CD" w:rsidRDefault="003945CD" w:rsidP="00250B01">
            <w:pPr>
              <w:spacing w:after="0" w:line="240" w:lineRule="auto"/>
              <w:jc w:val="center"/>
              <w:rPr>
                <w:rFonts w:eastAsia="Malgun Gothic"/>
                <w:b/>
                <w:szCs w:val="28"/>
                <w:lang w:val="nl-NL" w:eastAsia="vi-VN"/>
              </w:rPr>
            </w:pPr>
          </w:p>
          <w:p w:rsidR="003945CD" w:rsidRDefault="003945CD" w:rsidP="00250B01">
            <w:pPr>
              <w:spacing w:after="0" w:line="240" w:lineRule="auto"/>
              <w:jc w:val="center"/>
              <w:rPr>
                <w:rFonts w:eastAsia="Malgun Gothic"/>
                <w:b/>
                <w:szCs w:val="28"/>
                <w:lang w:val="nl-NL" w:eastAsia="vi-VN"/>
              </w:rPr>
            </w:pPr>
          </w:p>
          <w:p w:rsidR="003945CD" w:rsidRPr="001455C3" w:rsidRDefault="003945CD" w:rsidP="00250B01">
            <w:pPr>
              <w:spacing w:after="0" w:line="240" w:lineRule="auto"/>
              <w:jc w:val="center"/>
              <w:rPr>
                <w:rFonts w:eastAsia="Malgun Gothic"/>
                <w:b/>
                <w:szCs w:val="28"/>
                <w:lang w:val="nl-NL" w:eastAsia="vi-VN"/>
              </w:rPr>
            </w:pPr>
            <w:r>
              <w:rPr>
                <w:rFonts w:eastAsia="Malgun Gothic"/>
                <w:b/>
                <w:szCs w:val="28"/>
                <w:lang w:val="nl-NL" w:eastAsia="vi-VN"/>
              </w:rPr>
              <w:t>Nguyễn Viết Thuật</w:t>
            </w:r>
          </w:p>
          <w:p w:rsidR="003945CD" w:rsidRDefault="003945CD" w:rsidP="00250B01">
            <w:pPr>
              <w:tabs>
                <w:tab w:val="left" w:pos="1394"/>
              </w:tabs>
              <w:spacing w:after="0" w:line="240" w:lineRule="auto"/>
              <w:rPr>
                <w:rFonts w:eastAsia="Malgun Gothic"/>
                <w:b/>
                <w:szCs w:val="28"/>
                <w:lang w:val="nl-NL" w:eastAsia="vi-VN"/>
              </w:rPr>
            </w:pPr>
          </w:p>
          <w:p w:rsidR="003945CD" w:rsidRDefault="003945CD" w:rsidP="00250B01">
            <w:pPr>
              <w:spacing w:after="0" w:line="240" w:lineRule="auto"/>
              <w:rPr>
                <w:rFonts w:eastAsia="Malgun Gothic"/>
                <w:b/>
                <w:szCs w:val="28"/>
                <w:lang w:val="nl-NL" w:eastAsia="vi-VN"/>
              </w:rPr>
            </w:pPr>
          </w:p>
          <w:p w:rsidR="003945CD" w:rsidRDefault="003945CD" w:rsidP="00250B01">
            <w:pPr>
              <w:spacing w:after="0" w:line="240" w:lineRule="auto"/>
              <w:rPr>
                <w:rFonts w:eastAsia="Malgun Gothic"/>
                <w:b/>
                <w:szCs w:val="28"/>
                <w:lang w:val="nl-NL" w:eastAsia="vi-VN"/>
              </w:rPr>
            </w:pPr>
          </w:p>
          <w:p w:rsidR="003945CD" w:rsidRDefault="003945CD" w:rsidP="00250B01">
            <w:pPr>
              <w:spacing w:after="0" w:line="240" w:lineRule="auto"/>
              <w:rPr>
                <w:rFonts w:eastAsia="Malgun Gothic"/>
                <w:b/>
                <w:szCs w:val="28"/>
                <w:lang w:val="nl-NL" w:eastAsia="vi-VN"/>
              </w:rPr>
            </w:pPr>
          </w:p>
          <w:p w:rsidR="003945CD" w:rsidRDefault="003945CD" w:rsidP="00250B01">
            <w:pPr>
              <w:spacing w:after="0" w:line="240" w:lineRule="auto"/>
              <w:rPr>
                <w:rFonts w:eastAsia="Malgun Gothic"/>
                <w:b/>
                <w:szCs w:val="28"/>
                <w:lang w:val="nl-NL" w:eastAsia="vi-VN"/>
              </w:rPr>
            </w:pPr>
          </w:p>
          <w:p w:rsidR="003945CD" w:rsidRDefault="003945CD" w:rsidP="00250B01">
            <w:pPr>
              <w:spacing w:after="0" w:line="240" w:lineRule="auto"/>
              <w:rPr>
                <w:rFonts w:eastAsia="Malgun Gothic"/>
                <w:b/>
                <w:szCs w:val="28"/>
                <w:lang w:val="nl-NL" w:eastAsia="vi-VN"/>
              </w:rPr>
            </w:pPr>
          </w:p>
          <w:p w:rsidR="003945CD" w:rsidRPr="001455C3" w:rsidRDefault="003945CD" w:rsidP="00250B01">
            <w:pPr>
              <w:spacing w:after="0" w:line="240" w:lineRule="auto"/>
              <w:rPr>
                <w:rFonts w:eastAsia="Malgun Gothic"/>
                <w:b/>
                <w:szCs w:val="28"/>
                <w:lang w:val="nl-NL" w:eastAsia="vi-VN"/>
              </w:rPr>
            </w:pPr>
          </w:p>
          <w:p w:rsidR="003945CD" w:rsidRPr="001455C3" w:rsidRDefault="003945CD" w:rsidP="00250B01">
            <w:pPr>
              <w:spacing w:after="0" w:line="240" w:lineRule="auto"/>
              <w:rPr>
                <w:rFonts w:eastAsia="Malgun Gothic"/>
                <w:szCs w:val="28"/>
                <w:lang w:val="nl-NL" w:eastAsia="vi-VN"/>
              </w:rPr>
            </w:pPr>
          </w:p>
        </w:tc>
      </w:tr>
    </w:tbl>
    <w:p w:rsidR="003945CD" w:rsidRDefault="003945CD" w:rsidP="003945CD"/>
    <w:p w:rsidR="009F43F8" w:rsidRPr="003945CD" w:rsidRDefault="009F43F8" w:rsidP="003945CD"/>
    <w:sectPr w:rsidR="009F43F8" w:rsidRPr="003945CD" w:rsidSect="008419A9">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F66" w:rsidRDefault="00855F66">
      <w:pPr>
        <w:spacing w:after="0" w:line="240" w:lineRule="auto"/>
      </w:pPr>
      <w:r>
        <w:separator/>
      </w:r>
    </w:p>
  </w:endnote>
  <w:endnote w:type="continuationSeparator" w:id="1">
    <w:p w:rsidR="00855F66" w:rsidRDefault="00855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C8" w:rsidRDefault="00FC5B13">
    <w:pPr>
      <w:pStyle w:val="Footer"/>
      <w:jc w:val="right"/>
    </w:pPr>
    <w:r>
      <w:fldChar w:fldCharType="begin"/>
    </w:r>
    <w:r w:rsidR="00020BC8">
      <w:instrText xml:space="preserve"> PAGE   \* MERGEFORMAT </w:instrText>
    </w:r>
    <w:r>
      <w:fldChar w:fldCharType="separate"/>
    </w:r>
    <w:r w:rsidR="009F445A">
      <w:rPr>
        <w:noProof/>
      </w:rPr>
      <w:t>7</w:t>
    </w:r>
    <w:r>
      <w:rPr>
        <w:noProof/>
      </w:rPr>
      <w:fldChar w:fldCharType="end"/>
    </w:r>
  </w:p>
  <w:p w:rsidR="00020BC8" w:rsidRDefault="00020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F66" w:rsidRDefault="00855F66">
      <w:pPr>
        <w:spacing w:after="0" w:line="240" w:lineRule="auto"/>
      </w:pPr>
      <w:r>
        <w:separator/>
      </w:r>
    </w:p>
  </w:footnote>
  <w:footnote w:type="continuationSeparator" w:id="1">
    <w:p w:rsidR="00855F66" w:rsidRDefault="00855F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B051D"/>
    <w:multiLevelType w:val="multilevel"/>
    <w:tmpl w:val="B32C48B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6A9331D"/>
    <w:multiLevelType w:val="multilevel"/>
    <w:tmpl w:val="3E4EA34A"/>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1A10110"/>
    <w:multiLevelType w:val="multilevel"/>
    <w:tmpl w:val="9BA21DC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86F5C"/>
    <w:rsid w:val="000154A2"/>
    <w:rsid w:val="00020BC8"/>
    <w:rsid w:val="00037A79"/>
    <w:rsid w:val="00080FBC"/>
    <w:rsid w:val="00092B78"/>
    <w:rsid w:val="000D0A5D"/>
    <w:rsid w:val="001158E2"/>
    <w:rsid w:val="0011784A"/>
    <w:rsid w:val="0012755B"/>
    <w:rsid w:val="00145583"/>
    <w:rsid w:val="001745BA"/>
    <w:rsid w:val="001A26C8"/>
    <w:rsid w:val="001A34B0"/>
    <w:rsid w:val="001A37BC"/>
    <w:rsid w:val="001D683D"/>
    <w:rsid w:val="00264AB7"/>
    <w:rsid w:val="00287373"/>
    <w:rsid w:val="00296ADE"/>
    <w:rsid w:val="002B1C64"/>
    <w:rsid w:val="002B4D04"/>
    <w:rsid w:val="002C0142"/>
    <w:rsid w:val="002C4F35"/>
    <w:rsid w:val="002C651E"/>
    <w:rsid w:val="002D4E6E"/>
    <w:rsid w:val="0033373A"/>
    <w:rsid w:val="00336AA9"/>
    <w:rsid w:val="003945CD"/>
    <w:rsid w:val="00397111"/>
    <w:rsid w:val="003A72B6"/>
    <w:rsid w:val="003D7D52"/>
    <w:rsid w:val="003F1219"/>
    <w:rsid w:val="0043336F"/>
    <w:rsid w:val="00437DFC"/>
    <w:rsid w:val="00462164"/>
    <w:rsid w:val="00465005"/>
    <w:rsid w:val="00470A17"/>
    <w:rsid w:val="00487C8E"/>
    <w:rsid w:val="004969BB"/>
    <w:rsid w:val="004E51F1"/>
    <w:rsid w:val="004F09A8"/>
    <w:rsid w:val="004F2A02"/>
    <w:rsid w:val="00510F0D"/>
    <w:rsid w:val="0053664B"/>
    <w:rsid w:val="00563FAA"/>
    <w:rsid w:val="00570A9D"/>
    <w:rsid w:val="00580AC8"/>
    <w:rsid w:val="00584CC4"/>
    <w:rsid w:val="005C41D6"/>
    <w:rsid w:val="005D50DE"/>
    <w:rsid w:val="005E3585"/>
    <w:rsid w:val="005F6F3A"/>
    <w:rsid w:val="0060115B"/>
    <w:rsid w:val="00604B18"/>
    <w:rsid w:val="006605F0"/>
    <w:rsid w:val="00675FD2"/>
    <w:rsid w:val="00677C09"/>
    <w:rsid w:val="00690292"/>
    <w:rsid w:val="006B14E7"/>
    <w:rsid w:val="006C34FC"/>
    <w:rsid w:val="00721016"/>
    <w:rsid w:val="0078283C"/>
    <w:rsid w:val="00786F5C"/>
    <w:rsid w:val="00787448"/>
    <w:rsid w:val="007B130A"/>
    <w:rsid w:val="00825023"/>
    <w:rsid w:val="008419A9"/>
    <w:rsid w:val="008538F6"/>
    <w:rsid w:val="00855F66"/>
    <w:rsid w:val="008606F0"/>
    <w:rsid w:val="00863E4A"/>
    <w:rsid w:val="00884C33"/>
    <w:rsid w:val="0089439E"/>
    <w:rsid w:val="008A7F97"/>
    <w:rsid w:val="008E1410"/>
    <w:rsid w:val="0091291D"/>
    <w:rsid w:val="0094390F"/>
    <w:rsid w:val="009541A8"/>
    <w:rsid w:val="009721AA"/>
    <w:rsid w:val="00993FE8"/>
    <w:rsid w:val="009D1928"/>
    <w:rsid w:val="009E472D"/>
    <w:rsid w:val="009E6809"/>
    <w:rsid w:val="009E771D"/>
    <w:rsid w:val="009F1222"/>
    <w:rsid w:val="009F3D43"/>
    <w:rsid w:val="009F43F8"/>
    <w:rsid w:val="009F445A"/>
    <w:rsid w:val="009F51C4"/>
    <w:rsid w:val="00A028FD"/>
    <w:rsid w:val="00A315D9"/>
    <w:rsid w:val="00A506D0"/>
    <w:rsid w:val="00A83D2B"/>
    <w:rsid w:val="00A9001A"/>
    <w:rsid w:val="00AA31D8"/>
    <w:rsid w:val="00B20E5D"/>
    <w:rsid w:val="00B330DD"/>
    <w:rsid w:val="00B50A78"/>
    <w:rsid w:val="00B73AEB"/>
    <w:rsid w:val="00B90E40"/>
    <w:rsid w:val="00B97F4D"/>
    <w:rsid w:val="00BA37E1"/>
    <w:rsid w:val="00BA3C21"/>
    <w:rsid w:val="00BB316C"/>
    <w:rsid w:val="00BB7E92"/>
    <w:rsid w:val="00BF64B5"/>
    <w:rsid w:val="00C24180"/>
    <w:rsid w:val="00C6762E"/>
    <w:rsid w:val="00C91DCE"/>
    <w:rsid w:val="00CA0D19"/>
    <w:rsid w:val="00CB0C1A"/>
    <w:rsid w:val="00CB1010"/>
    <w:rsid w:val="00CC2BD5"/>
    <w:rsid w:val="00CE0761"/>
    <w:rsid w:val="00CE5817"/>
    <w:rsid w:val="00D06D02"/>
    <w:rsid w:val="00D17AF1"/>
    <w:rsid w:val="00D4591D"/>
    <w:rsid w:val="00D77F69"/>
    <w:rsid w:val="00D83D1D"/>
    <w:rsid w:val="00D87301"/>
    <w:rsid w:val="00DC4F2E"/>
    <w:rsid w:val="00DC698E"/>
    <w:rsid w:val="00DD6063"/>
    <w:rsid w:val="00DE5150"/>
    <w:rsid w:val="00E409C2"/>
    <w:rsid w:val="00E44165"/>
    <w:rsid w:val="00E5760A"/>
    <w:rsid w:val="00E6068A"/>
    <w:rsid w:val="00E67105"/>
    <w:rsid w:val="00E73B81"/>
    <w:rsid w:val="00E8629B"/>
    <w:rsid w:val="00F15398"/>
    <w:rsid w:val="00F366E1"/>
    <w:rsid w:val="00F55218"/>
    <w:rsid w:val="00F837CA"/>
    <w:rsid w:val="00F87B1E"/>
    <w:rsid w:val="00F979B9"/>
    <w:rsid w:val="00FB582A"/>
    <w:rsid w:val="00FC4143"/>
    <w:rsid w:val="00FC5B13"/>
    <w:rsid w:val="00FC7FC6"/>
    <w:rsid w:val="00FD51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13"/>
  </w:style>
  <w:style w:type="paragraph" w:styleId="Heading1">
    <w:name w:val="heading 1"/>
    <w:basedOn w:val="Normal"/>
    <w:next w:val="Normal"/>
    <w:link w:val="Heading1Char"/>
    <w:uiPriority w:val="9"/>
    <w:qFormat/>
    <w:rsid w:val="00E8629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E862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F5C"/>
    <w:pPr>
      <w:ind w:left="720"/>
      <w:contextualSpacing/>
    </w:pPr>
    <w:rPr>
      <w:rFonts w:eastAsia="Calibri" w:cs="Times New Roman"/>
    </w:rPr>
  </w:style>
  <w:style w:type="paragraph" w:styleId="Footer">
    <w:name w:val="footer"/>
    <w:basedOn w:val="Normal"/>
    <w:link w:val="FooterChar"/>
    <w:uiPriority w:val="99"/>
    <w:unhideWhenUsed/>
    <w:rsid w:val="00786F5C"/>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786F5C"/>
    <w:rPr>
      <w:rFonts w:eastAsia="Calibri" w:cs="Times New Roman"/>
    </w:rPr>
  </w:style>
  <w:style w:type="paragraph" w:styleId="NormalWeb">
    <w:name w:val="Normal (Web)"/>
    <w:basedOn w:val="Normal"/>
    <w:uiPriority w:val="99"/>
    <w:unhideWhenUsed/>
    <w:rsid w:val="00786F5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86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F5C"/>
    <w:rPr>
      <w:rFonts w:ascii="Tahoma" w:hAnsi="Tahoma" w:cs="Tahoma"/>
      <w:sz w:val="16"/>
      <w:szCs w:val="16"/>
    </w:rPr>
  </w:style>
  <w:style w:type="character" w:styleId="Strong">
    <w:name w:val="Strong"/>
    <w:basedOn w:val="DefaultParagraphFont"/>
    <w:uiPriority w:val="22"/>
    <w:qFormat/>
    <w:rsid w:val="005D50DE"/>
    <w:rPr>
      <w:b/>
      <w:bCs/>
    </w:rPr>
  </w:style>
  <w:style w:type="character" w:customStyle="1" w:styleId="Heading1Char">
    <w:name w:val="Heading 1 Char"/>
    <w:basedOn w:val="DefaultParagraphFont"/>
    <w:link w:val="Heading1"/>
    <w:uiPriority w:val="9"/>
    <w:rsid w:val="00E8629B"/>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E862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629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E862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F5C"/>
    <w:pPr>
      <w:ind w:left="720"/>
      <w:contextualSpacing/>
    </w:pPr>
    <w:rPr>
      <w:rFonts w:eastAsia="Calibri" w:cs="Times New Roman"/>
    </w:rPr>
  </w:style>
  <w:style w:type="paragraph" w:styleId="Footer">
    <w:name w:val="footer"/>
    <w:basedOn w:val="Normal"/>
    <w:link w:val="FooterChar"/>
    <w:uiPriority w:val="99"/>
    <w:unhideWhenUsed/>
    <w:rsid w:val="00786F5C"/>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786F5C"/>
    <w:rPr>
      <w:rFonts w:eastAsia="Calibri" w:cs="Times New Roman"/>
    </w:rPr>
  </w:style>
  <w:style w:type="paragraph" w:styleId="NormalWeb">
    <w:name w:val="Normal (Web)"/>
    <w:basedOn w:val="Normal"/>
    <w:uiPriority w:val="99"/>
    <w:unhideWhenUsed/>
    <w:rsid w:val="00786F5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86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F5C"/>
    <w:rPr>
      <w:rFonts w:ascii="Tahoma" w:hAnsi="Tahoma" w:cs="Tahoma"/>
      <w:sz w:val="16"/>
      <w:szCs w:val="16"/>
    </w:rPr>
  </w:style>
  <w:style w:type="character" w:styleId="Strong">
    <w:name w:val="Strong"/>
    <w:basedOn w:val="DefaultParagraphFont"/>
    <w:uiPriority w:val="22"/>
    <w:qFormat/>
    <w:rsid w:val="005D50DE"/>
    <w:rPr>
      <w:b/>
      <w:bCs/>
    </w:rPr>
  </w:style>
  <w:style w:type="character" w:customStyle="1" w:styleId="Heading1Char">
    <w:name w:val="Heading 1 Char"/>
    <w:basedOn w:val="DefaultParagraphFont"/>
    <w:link w:val="Heading1"/>
    <w:uiPriority w:val="9"/>
    <w:rsid w:val="00E8629B"/>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E862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eme3">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7</cp:revision>
  <cp:lastPrinted>2019-06-04T01:44:00Z</cp:lastPrinted>
  <dcterms:created xsi:type="dcterms:W3CDTF">2019-06-25T12:46:00Z</dcterms:created>
  <dcterms:modified xsi:type="dcterms:W3CDTF">2019-06-28T02:46:00Z</dcterms:modified>
</cp:coreProperties>
</file>